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ＭＳ Ｐ明朝" w:hAnsi="ＭＳ Ｐ明朝"/>
          <w:b/>
          <w:sz w:val="28"/>
        </w:rPr>
      </w:pPr>
      <w:r>
        <w:rPr>
          <w:rFonts w:ascii="ＭＳ Ｐ明朝" w:hAnsi="ＭＳ Ｐ明朝"/>
          <w:b/>
          <w:sz w:val="28"/>
        </w:rPr>
        <w:t>小浜市グリーン購入推進方針</w:t>
      </w:r>
    </w:p>
    <w:p>
      <w:pPr>
        <w:pStyle w:val="Normal"/>
        <w:bidi w:val="0"/>
        <w:jc w:val="right"/>
        <w:rPr>
          <w:rFonts w:ascii="ＭＳ Ｐ明朝" w:hAnsi="ＭＳ Ｐ明朝"/>
          <w:sz w:val="24"/>
        </w:rPr>
      </w:pPr>
      <w:r>
        <w:rPr>
          <w:rFonts w:ascii="ＭＳ Ｐ明朝" w:hAnsi="ＭＳ Ｐ明朝"/>
          <w:sz w:val="24"/>
        </w:rPr>
      </w:r>
    </w:p>
    <w:p>
      <w:pPr>
        <w:pStyle w:val="Normal"/>
        <w:bidi w:val="0"/>
        <w:jc w:val="right"/>
        <w:rPr>
          <w:rFonts w:ascii="ＭＳ Ｐ明朝" w:hAnsi="ＭＳ Ｐ明朝"/>
          <w:sz w:val="24"/>
        </w:rPr>
      </w:pPr>
      <w:r>
        <w:rPr>
          <w:rFonts w:ascii="ＭＳ Ｐ明朝" w:hAnsi="ＭＳ Ｐ明朝"/>
          <w:sz w:val="24"/>
        </w:rPr>
        <w:t>平成１７年４月１日</w:t>
      </w:r>
    </w:p>
    <w:p>
      <w:pPr>
        <w:pStyle w:val="Normal"/>
        <w:bidi w:val="0"/>
        <w:jc w:val="right"/>
        <w:rPr>
          <w:rFonts w:ascii="ＭＳ Ｐ明朝" w:hAnsi="ＭＳ Ｐ明朝"/>
          <w:sz w:val="24"/>
        </w:rPr>
      </w:pPr>
      <w:r>
        <w:rPr>
          <w:rFonts w:ascii="ＭＳ Ｐ明朝" w:hAnsi="ＭＳ Ｐ明朝"/>
          <w:sz w:val="24"/>
        </w:rPr>
      </w:r>
    </w:p>
    <w:p>
      <w:pPr>
        <w:pStyle w:val="Normal"/>
        <w:bidi w:val="0"/>
        <w:rPr>
          <w:rFonts w:ascii="ＭＳ Ｐ明朝" w:hAnsi="ＭＳ Ｐ明朝"/>
          <w:sz w:val="24"/>
        </w:rPr>
      </w:pPr>
      <w:r>
        <w:rPr>
          <w:rFonts w:ascii="ＭＳ Ｐ明朝" w:hAnsi="ＭＳ Ｐ明朝"/>
          <w:sz w:val="24"/>
        </w:rPr>
      </w:r>
    </w:p>
    <w:p>
      <w:pPr>
        <w:pStyle w:val="Normal"/>
        <w:bidi w:val="0"/>
        <w:rPr>
          <w:rFonts w:ascii="ＭＳ Ｐ明朝" w:hAnsi="ＭＳ Ｐ明朝"/>
          <w:b/>
          <w:sz w:val="24"/>
        </w:rPr>
      </w:pPr>
      <w:r>
        <w:rPr>
          <w:rFonts w:ascii="ＭＳ Ｐ明朝" w:hAnsi="ＭＳ Ｐ明朝"/>
          <w:b/>
          <w:sz w:val="24"/>
        </w:rPr>
        <w:t>１．策定の趣旨</w:t>
      </w:r>
    </w:p>
    <w:p>
      <w:pPr>
        <w:pStyle w:val="Normal"/>
        <w:bidi w:val="0"/>
        <w:ind w:hanging="480" w:left="480"/>
        <w:rPr>
          <w:rFonts w:ascii="ＭＳ Ｐ明朝" w:hAnsi="ＭＳ Ｐ明朝"/>
          <w:sz w:val="24"/>
        </w:rPr>
      </w:pPr>
      <w:r>
        <w:rPr>
          <w:rFonts w:ascii="ＭＳ Ｐ明朝" w:hAnsi="ＭＳ Ｐ明朝"/>
          <w:sz w:val="24"/>
        </w:rPr>
        <w:t>　　　大量生産、大量消費、大量廃棄型の社会システムとそこから産み出される製品やサービスは、地球温暖化、オゾン層の破壊、大気、水、土壌の汚染等深刻な環境問題をもたらした。私たちは、使い捨て型の社会や製品のあり方を根本から見直し、持続可能な循環型社会を構築しなければならない。</w:t>
      </w:r>
    </w:p>
    <w:p>
      <w:pPr>
        <w:pStyle w:val="Normal"/>
        <w:bidi w:val="0"/>
        <w:ind w:hanging="480" w:left="480"/>
        <w:rPr>
          <w:rFonts w:ascii="ＭＳ Ｐ明朝" w:hAnsi="ＭＳ Ｐ明朝"/>
          <w:sz w:val="24"/>
        </w:rPr>
      </w:pPr>
      <w:r>
        <w:rPr>
          <w:rFonts w:ascii="ＭＳ Ｐ明朝" w:hAnsi="ＭＳ Ｐ明朝"/>
          <w:sz w:val="24"/>
        </w:rPr>
        <w:t>　　　このため、物品等の調達に当たっては、従来考慮されてきた価格や品質などに加え、環境保全の観点から、環境負荷の低減に資する原材料・部品・製品および役務（以下「環境物品等」という。）を優先的に選択するグリーン購入を推進し、環境物品等への需要の転換を促進していく必要がある。</w:t>
      </w:r>
    </w:p>
    <w:p>
      <w:pPr>
        <w:pStyle w:val="Normal"/>
        <w:bidi w:val="0"/>
        <w:ind w:hanging="480" w:left="480"/>
        <w:rPr>
          <w:rFonts w:ascii="ＭＳ Ｐ明朝" w:hAnsi="ＭＳ Ｐ明朝"/>
          <w:sz w:val="24"/>
        </w:rPr>
      </w:pPr>
      <w:r>
        <w:rPr>
          <w:rFonts w:ascii="ＭＳ Ｐ明朝" w:hAnsi="ＭＳ Ｐ明朝"/>
          <w:sz w:val="24"/>
        </w:rPr>
        <w:t>　　　こうしたことから、市自らが計画的にグリーン購入に努めるとともに、市民や事業者等における取組みを促進するため、本推進方針を定める。</w:t>
      </w:r>
    </w:p>
    <w:p>
      <w:pPr>
        <w:pStyle w:val="Normal"/>
        <w:bidi w:val="0"/>
        <w:rPr>
          <w:rFonts w:ascii="ＭＳ Ｐ明朝" w:hAnsi="ＭＳ Ｐ明朝"/>
          <w:sz w:val="24"/>
        </w:rPr>
      </w:pPr>
      <w:r>
        <w:rPr>
          <w:rFonts w:ascii="ＭＳ Ｐ明朝" w:hAnsi="ＭＳ Ｐ明朝"/>
          <w:sz w:val="24"/>
        </w:rPr>
      </w:r>
    </w:p>
    <w:p>
      <w:pPr>
        <w:pStyle w:val="Normal"/>
        <w:bidi w:val="0"/>
        <w:rPr>
          <w:rFonts w:ascii="ＭＳ Ｐ明朝" w:hAnsi="ＭＳ Ｐ明朝"/>
          <w:b/>
          <w:sz w:val="24"/>
        </w:rPr>
      </w:pPr>
      <w:r>
        <w:rPr>
          <w:rFonts w:ascii="ＭＳ Ｐ明朝" w:hAnsi="ＭＳ Ｐ明朝"/>
          <w:b/>
          <w:sz w:val="24"/>
        </w:rPr>
        <w:t>２．適用範囲</w:t>
      </w:r>
    </w:p>
    <w:p>
      <w:pPr>
        <w:pStyle w:val="Normal"/>
        <w:bidi w:val="0"/>
        <w:rPr>
          <w:rFonts w:ascii="ＭＳ 明朝" w:hAnsi="ＭＳ 明朝"/>
          <w:sz w:val="24"/>
        </w:rPr>
      </w:pPr>
      <w:r>
        <w:rPr>
          <w:rFonts w:ascii="ＭＳ 明朝" w:hAnsi="ＭＳ 明朝"/>
          <w:sz w:val="24"/>
        </w:rPr>
        <w:t>　　　この方針は、以下の部局および物品等について適用する。</w:t>
      </w:r>
    </w:p>
    <w:p>
      <w:pPr>
        <w:pStyle w:val="Normal"/>
        <w:bidi w:val="0"/>
        <w:ind w:firstLine="480"/>
        <w:rPr>
          <w:rFonts w:ascii="ＭＳ 明朝" w:hAnsi="ＭＳ 明朝"/>
          <w:sz w:val="24"/>
        </w:rPr>
      </w:pPr>
      <w:r>
        <w:rPr>
          <w:rFonts w:ascii="ＭＳ 明朝" w:hAnsi="ＭＳ 明朝"/>
          <w:sz w:val="24"/>
        </w:rPr>
        <w:t xml:space="preserve">① </w:t>
      </w:r>
      <w:r>
        <w:rPr>
          <w:rFonts w:ascii="ＭＳ 明朝" w:hAnsi="ＭＳ 明朝"/>
          <w:sz w:val="24"/>
        </w:rPr>
        <w:t>部局</w:t>
      </w:r>
    </w:p>
    <w:p>
      <w:pPr>
        <w:pStyle w:val="Normal"/>
        <w:bidi w:val="0"/>
        <w:ind w:left="239"/>
        <w:rPr>
          <w:rFonts w:ascii="ＭＳ 明朝" w:hAnsi="ＭＳ 明朝"/>
          <w:sz w:val="24"/>
        </w:rPr>
      </w:pPr>
      <w:r>
        <w:rPr>
          <w:rFonts w:ascii="ＭＳ 明朝" w:hAnsi="ＭＳ 明朝"/>
          <w:sz w:val="24"/>
        </w:rPr>
        <w:t>　　 市長部局</w:t>
      </w:r>
    </w:p>
    <w:p>
      <w:pPr>
        <w:pStyle w:val="Normal"/>
        <w:bidi w:val="0"/>
        <w:rPr>
          <w:rFonts w:ascii="ＭＳ 明朝" w:hAnsi="ＭＳ 明朝"/>
          <w:sz w:val="24"/>
        </w:rPr>
      </w:pPr>
      <w:r>
        <w:rPr>
          <w:rFonts w:ascii="ＭＳ 明朝" w:hAnsi="ＭＳ 明朝"/>
          <w:sz w:val="24"/>
        </w:rPr>
        <w:t>　　　 議会事務局</w:t>
      </w:r>
    </w:p>
    <w:p>
      <w:pPr>
        <w:pStyle w:val="Normal"/>
        <w:bidi w:val="0"/>
        <w:rPr>
          <w:rFonts w:ascii="ＭＳ 明朝" w:hAnsi="ＭＳ 明朝"/>
          <w:sz w:val="24"/>
        </w:rPr>
      </w:pPr>
      <w:r>
        <w:rPr>
          <w:rFonts w:ascii="ＭＳ 明朝" w:hAnsi="ＭＳ 明朝"/>
          <w:sz w:val="24"/>
        </w:rPr>
        <w:t>　　　 教育委員会事務局</w:t>
      </w:r>
    </w:p>
    <w:p>
      <w:pPr>
        <w:pStyle w:val="Normal"/>
        <w:bidi w:val="0"/>
        <w:ind w:firstLine="840"/>
        <w:rPr>
          <w:rFonts w:ascii="ＭＳ 明朝" w:hAnsi="ＭＳ 明朝"/>
          <w:sz w:val="24"/>
        </w:rPr>
      </w:pPr>
      <w:r>
        <w:rPr>
          <w:rFonts w:ascii="ＭＳ 明朝" w:hAnsi="ＭＳ 明朝"/>
          <w:sz w:val="24"/>
        </w:rPr>
        <w:t>監査委員事務局</w:t>
      </w:r>
    </w:p>
    <w:p>
      <w:pPr>
        <w:pStyle w:val="Normal"/>
        <w:bidi w:val="0"/>
        <w:rPr>
          <w:rFonts w:ascii="ＭＳ 明朝" w:hAnsi="ＭＳ 明朝"/>
          <w:sz w:val="24"/>
        </w:rPr>
      </w:pPr>
      <w:r>
        <w:rPr>
          <w:rFonts w:ascii="ＭＳ 明朝" w:hAnsi="ＭＳ 明朝"/>
          <w:sz w:val="24"/>
        </w:rPr>
        <w:t>　　② 物品等</w:t>
      </w:r>
    </w:p>
    <w:p>
      <w:pPr>
        <w:pStyle w:val="Normal"/>
        <w:bidi w:val="0"/>
        <w:rPr>
          <w:rFonts w:ascii="ＭＳ 明朝" w:hAnsi="ＭＳ 明朝"/>
          <w:sz w:val="24"/>
        </w:rPr>
      </w:pPr>
      <w:r>
        <w:rPr>
          <w:rFonts w:ascii="ＭＳ 明朝" w:hAnsi="ＭＳ 明朝"/>
          <w:sz w:val="24"/>
        </w:rPr>
        <w:t>　　　 消耗品、備品、役務および公共工事</w:t>
      </w:r>
    </w:p>
    <w:p>
      <w:pPr>
        <w:pStyle w:val="Normal"/>
        <w:bidi w:val="0"/>
        <w:rPr>
          <w:rFonts w:ascii="ＭＳ 明朝" w:hAnsi="ＭＳ 明朝"/>
          <w:sz w:val="24"/>
        </w:rPr>
      </w:pPr>
      <w:r>
        <w:rPr>
          <w:rFonts w:ascii="ＭＳ 明朝" w:hAnsi="ＭＳ 明朝"/>
          <w:sz w:val="24"/>
        </w:rPr>
      </w:r>
    </w:p>
    <w:p>
      <w:pPr>
        <w:pStyle w:val="Normal"/>
        <w:bidi w:val="0"/>
        <w:rPr>
          <w:rFonts w:ascii="ＭＳ 明朝" w:hAnsi="ＭＳ 明朝"/>
          <w:b/>
          <w:sz w:val="24"/>
        </w:rPr>
      </w:pPr>
      <w:r>
        <w:rPr>
          <w:rFonts w:ascii="ＭＳ 明朝" w:hAnsi="ＭＳ 明朝"/>
          <w:b/>
          <w:sz w:val="24"/>
        </w:rPr>
        <w:t>３．環境物品等の要件</w:t>
      </w:r>
    </w:p>
    <w:p>
      <w:pPr>
        <w:pStyle w:val="Normal"/>
        <w:bidi w:val="0"/>
        <w:ind w:hanging="480" w:left="480"/>
        <w:rPr>
          <w:rFonts w:ascii="ＭＳ 明朝" w:hAnsi="ＭＳ 明朝"/>
          <w:sz w:val="24"/>
        </w:rPr>
      </w:pPr>
      <w:r>
        <w:rPr>
          <w:rFonts w:ascii="ＭＳ 明朝" w:hAnsi="ＭＳ 明朝"/>
          <w:sz w:val="24"/>
        </w:rPr>
        <w:t>　　　資源採取から製造、流通、使用、リサイクル、廃棄に至るまで物品等のライフサイクル全体について以下の事項を考慮し、かつ、多様な環境負荷項目を包括的に捉え、環境負荷の少ない物品等を選択する。</w:t>
      </w:r>
    </w:p>
    <w:p>
      <w:pPr>
        <w:pStyle w:val="Normal"/>
        <w:bidi w:val="0"/>
        <w:ind w:hanging="480" w:left="480"/>
        <w:rPr>
          <w:rFonts w:ascii="ＭＳ 明朝" w:hAnsi="ＭＳ 明朝"/>
          <w:sz w:val="24"/>
        </w:rPr>
      </w:pPr>
      <w:r>
        <w:rPr>
          <w:rFonts w:ascii="ＭＳ 明朝" w:hAnsi="ＭＳ 明朝"/>
          <w:sz w:val="24"/>
        </w:rPr>
        <w:t>　 ① 環境や人の健康に被害を与えるような物品の使用および放出が削減されていること</w:t>
      </w:r>
    </w:p>
    <w:p>
      <w:pPr>
        <w:pStyle w:val="Normal"/>
        <w:bidi w:val="0"/>
        <w:rPr>
          <w:rFonts w:ascii="ＭＳ 明朝" w:hAnsi="ＭＳ 明朝"/>
          <w:sz w:val="24"/>
        </w:rPr>
      </w:pPr>
      <w:r>
        <w:rPr>
          <w:rFonts w:ascii="ＭＳ 明朝" w:hAnsi="ＭＳ 明朝"/>
          <w:sz w:val="24"/>
        </w:rPr>
        <w:t>　 ② 資源やエネルギーの消費が小さいこと</w:t>
      </w:r>
    </w:p>
    <w:p>
      <w:pPr>
        <w:pStyle w:val="Normal"/>
        <w:bidi w:val="0"/>
        <w:rPr>
          <w:rFonts w:ascii="ＭＳ 明朝" w:hAnsi="ＭＳ 明朝"/>
          <w:sz w:val="24"/>
        </w:rPr>
      </w:pPr>
      <w:r>
        <w:rPr>
          <w:rFonts w:ascii="ＭＳ 明朝" w:hAnsi="ＭＳ 明朝"/>
          <w:sz w:val="24"/>
        </w:rPr>
        <w:t>　 ③ 資源を持続可能な方法で採取し、有効利用していること</w:t>
      </w:r>
    </w:p>
    <w:p>
      <w:pPr>
        <w:pStyle w:val="Normal"/>
        <w:bidi w:val="0"/>
        <w:rPr>
          <w:rFonts w:ascii="ＭＳ 明朝" w:hAnsi="ＭＳ 明朝"/>
          <w:sz w:val="24"/>
        </w:rPr>
      </w:pPr>
      <w:r>
        <w:rPr>
          <w:rFonts w:ascii="ＭＳ 明朝" w:hAnsi="ＭＳ 明朝"/>
          <w:sz w:val="24"/>
        </w:rPr>
        <w:t>　 ④ 長期間の使用ができること</w:t>
      </w:r>
    </w:p>
    <w:p>
      <w:pPr>
        <w:pStyle w:val="Normal"/>
        <w:bidi w:val="0"/>
        <w:rPr>
          <w:rFonts w:ascii="ＭＳ 明朝" w:hAnsi="ＭＳ 明朝"/>
          <w:sz w:val="24"/>
        </w:rPr>
      </w:pPr>
      <w:r>
        <w:rPr>
          <w:rFonts w:ascii="ＭＳ 明朝" w:hAnsi="ＭＳ 明朝"/>
          <w:sz w:val="24"/>
        </w:rPr>
        <w:t>　 ⑤ 再使用が可能であること</w:t>
      </w:r>
    </w:p>
    <w:p>
      <w:pPr>
        <w:pStyle w:val="Normal"/>
        <w:bidi w:val="0"/>
        <w:rPr>
          <w:rFonts w:ascii="ＭＳ 明朝" w:hAnsi="ＭＳ 明朝"/>
          <w:sz w:val="24"/>
        </w:rPr>
      </w:pPr>
      <w:r>
        <w:rPr>
          <w:rFonts w:ascii="ＭＳ 明朝" w:hAnsi="ＭＳ 明朝"/>
          <w:sz w:val="24"/>
        </w:rPr>
        <w:t>　 ⑥ リサイクルが可能であること</w:t>
      </w:r>
    </w:p>
    <w:p>
      <w:pPr>
        <w:pStyle w:val="Normal"/>
        <w:bidi w:val="0"/>
        <w:rPr>
          <w:rFonts w:ascii="ＭＳ 明朝" w:hAnsi="ＭＳ 明朝"/>
          <w:sz w:val="24"/>
        </w:rPr>
      </w:pPr>
      <w:r>
        <w:rPr>
          <w:rFonts w:ascii="ＭＳ 明朝" w:hAnsi="ＭＳ 明朝"/>
          <w:sz w:val="24"/>
        </w:rPr>
        <w:t>　 ⑦ 再生された素材や再使用された部品を多く利用していること</w:t>
      </w:r>
    </w:p>
    <w:p>
      <w:pPr>
        <w:pStyle w:val="Normal"/>
        <w:bidi w:val="0"/>
        <w:rPr>
          <w:rFonts w:ascii="ＭＳ 明朝" w:hAnsi="ＭＳ 明朝"/>
          <w:sz w:val="24"/>
        </w:rPr>
      </w:pPr>
      <w:r>
        <w:rPr>
          <w:rFonts w:ascii="ＭＳ 明朝" w:hAnsi="ＭＳ 明朝"/>
          <w:sz w:val="24"/>
        </w:rPr>
        <w:t>　 ⑧ 廃棄されるとき処理や方法が容易なこと</w:t>
      </w:r>
    </w:p>
    <w:p>
      <w:pPr>
        <w:pStyle w:val="Normal"/>
        <w:bidi w:val="0"/>
        <w:rPr>
          <w:rFonts w:ascii="ＭＳ 明朝" w:hAnsi="ＭＳ 明朝"/>
          <w:sz w:val="24"/>
        </w:rPr>
      </w:pPr>
      <w:r>
        <w:rPr>
          <w:rFonts w:ascii="ＭＳ 明朝" w:hAnsi="ＭＳ 明朝"/>
          <w:sz w:val="24"/>
        </w:rPr>
      </w:r>
    </w:p>
    <w:p>
      <w:pPr>
        <w:pStyle w:val="Normal"/>
        <w:bidi w:val="0"/>
        <w:rPr>
          <w:rFonts w:ascii="ＭＳ 明朝" w:hAnsi="ＭＳ 明朝"/>
          <w:sz w:val="24"/>
        </w:rPr>
      </w:pPr>
      <w:r>
        <w:rPr>
          <w:rFonts w:ascii="ＭＳ 明朝" w:hAnsi="ＭＳ 明朝"/>
          <w:sz w:val="24"/>
        </w:rPr>
      </w:r>
    </w:p>
    <w:p>
      <w:pPr>
        <w:pStyle w:val="Normal"/>
        <w:bidi w:val="0"/>
        <w:rPr>
          <w:rFonts w:ascii="ＭＳ 明朝" w:hAnsi="ＭＳ 明朝"/>
          <w:sz w:val="24"/>
        </w:rPr>
      </w:pPr>
      <w:r>
        <w:rPr>
          <w:rFonts w:ascii="ＭＳ 明朝" w:hAnsi="ＭＳ 明朝"/>
          <w:sz w:val="24"/>
        </w:rPr>
      </w:r>
    </w:p>
    <w:p>
      <w:pPr>
        <w:pStyle w:val="Normal"/>
        <w:bidi w:val="0"/>
        <w:rPr>
          <w:rFonts w:ascii="ＭＳ 明朝" w:hAnsi="ＭＳ 明朝"/>
          <w:b/>
          <w:sz w:val="24"/>
        </w:rPr>
      </w:pPr>
      <w:r>
        <w:rPr>
          <w:rFonts w:ascii="ＭＳ 明朝" w:hAnsi="ＭＳ 明朝"/>
          <w:b/>
          <w:sz w:val="24"/>
        </w:rPr>
        <w:t>４．調達計画の策定</w:t>
      </w:r>
    </w:p>
    <w:p>
      <w:pPr>
        <w:pStyle w:val="Normal"/>
        <w:bidi w:val="0"/>
        <w:rPr>
          <w:rFonts w:ascii="ＭＳ 明朝" w:hAnsi="ＭＳ 明朝"/>
          <w:sz w:val="24"/>
        </w:rPr>
      </w:pPr>
      <w:r>
        <w:rPr>
          <w:rFonts w:ascii="ＭＳ 明朝" w:hAnsi="ＭＳ 明朝"/>
          <w:sz w:val="24"/>
        </w:rPr>
        <w:t>　</w:t>
      </w:r>
      <w:r>
        <w:rPr>
          <w:rFonts w:ascii="ＭＳ 明朝" w:hAnsi="ＭＳ 明朝"/>
          <w:sz w:val="24"/>
        </w:rPr>
        <w:t xml:space="preserve">(1) </w:t>
      </w:r>
      <w:r>
        <w:rPr>
          <w:rFonts w:ascii="ＭＳ 明朝" w:hAnsi="ＭＳ 明朝"/>
          <w:sz w:val="24"/>
        </w:rPr>
        <w:t>グリーン購入を計画的に推進するため、毎年度、調達計画を策定する。</w:t>
      </w:r>
    </w:p>
    <w:p>
      <w:pPr>
        <w:pStyle w:val="Normal"/>
        <w:bidi w:val="0"/>
        <w:rPr>
          <w:rFonts w:ascii="ＭＳ 明朝" w:hAnsi="ＭＳ 明朝"/>
          <w:sz w:val="24"/>
        </w:rPr>
      </w:pPr>
      <w:r>
        <w:rPr>
          <w:rFonts w:ascii="ＭＳ 明朝" w:hAnsi="ＭＳ 明朝"/>
          <w:sz w:val="24"/>
        </w:rPr>
        <w:t>　</w:t>
      </w:r>
      <w:r>
        <w:rPr>
          <w:rFonts w:ascii="ＭＳ 明朝" w:hAnsi="ＭＳ 明朝"/>
          <w:sz w:val="24"/>
        </w:rPr>
        <w:t xml:space="preserve">(2) </w:t>
      </w:r>
      <w:r>
        <w:rPr>
          <w:rFonts w:ascii="ＭＳ 明朝" w:hAnsi="ＭＳ 明朝"/>
          <w:sz w:val="24"/>
        </w:rPr>
        <w:t>調達計画には、次の事項を定める。</w:t>
      </w:r>
    </w:p>
    <w:p>
      <w:pPr>
        <w:pStyle w:val="Normal"/>
        <w:bidi w:val="0"/>
        <w:rPr>
          <w:rFonts w:ascii="ＭＳ 明朝" w:hAnsi="ＭＳ 明朝"/>
          <w:sz w:val="24"/>
        </w:rPr>
      </w:pPr>
      <w:r>
        <w:rPr>
          <w:rFonts w:ascii="ＭＳ 明朝" w:hAnsi="ＭＳ 明朝"/>
          <w:sz w:val="24"/>
        </w:rPr>
        <w:t>　 ① 重点品目（重点的に調達を推進すべき環境物品等の種類）</w:t>
      </w:r>
    </w:p>
    <w:p>
      <w:pPr>
        <w:pStyle w:val="Normal"/>
        <w:bidi w:val="0"/>
        <w:ind w:hanging="1920" w:left="1920"/>
        <w:rPr>
          <w:rFonts w:ascii="ＭＳ 明朝" w:hAnsi="ＭＳ 明朝"/>
          <w:sz w:val="24"/>
        </w:rPr>
      </w:pPr>
      <w:r>
        <w:rPr>
          <w:rFonts w:ascii="ＭＳ 明朝" w:hAnsi="ＭＳ 明朝"/>
          <w:sz w:val="24"/>
        </w:rPr>
        <w:t>　 ② 判断基準（重点品目に該当する環境物品等における選択のための基準）</w:t>
      </w:r>
    </w:p>
    <w:p>
      <w:pPr>
        <w:pStyle w:val="Normal"/>
        <w:bidi w:val="0"/>
        <w:rPr>
          <w:rFonts w:ascii="ＭＳ 明朝" w:hAnsi="ＭＳ 明朝"/>
          <w:sz w:val="24"/>
        </w:rPr>
      </w:pPr>
      <w:r>
        <w:rPr>
          <w:rFonts w:ascii="ＭＳ 明朝" w:hAnsi="ＭＳ 明朝"/>
          <w:sz w:val="24"/>
        </w:rPr>
        <w:t>　 ③ 調達目標（重点品目の年間調達目標）</w:t>
      </w:r>
    </w:p>
    <w:p>
      <w:pPr>
        <w:pStyle w:val="Normal"/>
        <w:bidi w:val="0"/>
        <w:rPr>
          <w:rFonts w:ascii="ＭＳ 明朝" w:hAnsi="ＭＳ 明朝"/>
          <w:sz w:val="24"/>
        </w:rPr>
      </w:pPr>
      <w:r>
        <w:rPr>
          <w:rFonts w:ascii="ＭＳ 明朝" w:hAnsi="ＭＳ 明朝"/>
          <w:sz w:val="24"/>
        </w:rPr>
        <w:t>　 ④ 配慮事項（②の判断基準とはしないが、配慮することが望ましい事項）</w:t>
      </w:r>
    </w:p>
    <w:p>
      <w:pPr>
        <w:pStyle w:val="Normal"/>
        <w:bidi w:val="0"/>
        <w:rPr>
          <w:rFonts w:ascii="ＭＳ 明朝" w:hAnsi="ＭＳ 明朝"/>
          <w:sz w:val="24"/>
        </w:rPr>
      </w:pPr>
      <w:r>
        <w:rPr>
          <w:rFonts w:ascii="ＭＳ 明朝" w:hAnsi="ＭＳ 明朝"/>
          <w:sz w:val="24"/>
        </w:rPr>
        <w:t>　 ⑤ その他</w:t>
      </w:r>
    </w:p>
    <w:p>
      <w:pPr>
        <w:pStyle w:val="Normal"/>
        <w:bidi w:val="0"/>
        <w:rPr>
          <w:rFonts w:ascii="ＭＳ 明朝" w:hAnsi="ＭＳ 明朝"/>
          <w:sz w:val="24"/>
        </w:rPr>
      </w:pPr>
      <w:r>
        <w:rPr>
          <w:rFonts w:ascii="ＭＳ 明朝" w:hAnsi="ＭＳ 明朝"/>
          <w:sz w:val="24"/>
        </w:rPr>
      </w:r>
    </w:p>
    <w:p>
      <w:pPr>
        <w:pStyle w:val="Normal"/>
        <w:bidi w:val="0"/>
        <w:rPr>
          <w:rFonts w:ascii="ＭＳ 明朝" w:hAnsi="ＭＳ 明朝"/>
          <w:b/>
          <w:sz w:val="24"/>
        </w:rPr>
      </w:pPr>
      <w:r>
        <w:rPr>
          <w:rFonts w:ascii="ＭＳ 明朝" w:hAnsi="ＭＳ 明朝"/>
          <w:b/>
          <w:sz w:val="24"/>
        </w:rPr>
        <w:t>５．調達に当たっての基本的な考え方</w:t>
      </w:r>
    </w:p>
    <w:p>
      <w:pPr>
        <w:pStyle w:val="Normal"/>
        <w:bidi w:val="0"/>
        <w:ind w:hanging="480" w:left="480"/>
        <w:rPr>
          <w:rFonts w:ascii="ＭＳ 明朝" w:hAnsi="ＭＳ 明朝"/>
          <w:sz w:val="24"/>
        </w:rPr>
      </w:pPr>
      <w:r>
        <w:rPr>
          <w:rFonts w:ascii="ＭＳ 明朝" w:hAnsi="ＭＳ 明朝"/>
          <w:sz w:val="24"/>
        </w:rPr>
        <w:t>　</w:t>
      </w:r>
      <w:r>
        <w:rPr>
          <w:rFonts w:ascii="ＭＳ 明朝" w:hAnsi="ＭＳ 明朝"/>
          <w:sz w:val="24"/>
        </w:rPr>
        <w:t xml:space="preserve">(1) </w:t>
      </w:r>
      <w:r>
        <w:rPr>
          <w:rFonts w:ascii="ＭＳ 明朝" w:hAnsi="ＭＳ 明朝"/>
          <w:sz w:val="24"/>
        </w:rPr>
        <w:t>調達総量をできるだけ抑制するため、物品等の合理的使用等に努めるとともに、調達の必要性と適正量を十分検討する。</w:t>
      </w:r>
    </w:p>
    <w:p>
      <w:pPr>
        <w:pStyle w:val="Normal"/>
        <w:bidi w:val="0"/>
        <w:ind w:hanging="480" w:left="480"/>
        <w:rPr>
          <w:rFonts w:ascii="ＭＳ 明朝" w:hAnsi="ＭＳ 明朝"/>
          <w:sz w:val="24"/>
        </w:rPr>
      </w:pPr>
      <w:r>
        <w:rPr>
          <w:rFonts w:ascii="ＭＳ 明朝" w:hAnsi="ＭＳ 明朝"/>
          <w:sz w:val="24"/>
        </w:rPr>
        <w:t>　</w:t>
      </w:r>
      <w:r>
        <w:rPr>
          <w:rFonts w:ascii="ＭＳ 明朝" w:hAnsi="ＭＳ 明朝"/>
          <w:sz w:val="24"/>
        </w:rPr>
        <w:t xml:space="preserve">(2) </w:t>
      </w:r>
      <w:r>
        <w:rPr>
          <w:rFonts w:ascii="ＭＳ 明朝" w:hAnsi="ＭＳ 明朝"/>
          <w:sz w:val="24"/>
        </w:rPr>
        <w:t>重点品目を調達する場合は、判断基準を満たす環境物品等を選択しなければならない。ただし、経費が著しく割高となる場合や、使用機器・使用条件等にあった環境物品等の調達が困難な場合は、この限りでない。</w:t>
      </w:r>
    </w:p>
    <w:p>
      <w:pPr>
        <w:pStyle w:val="Normal"/>
        <w:bidi w:val="0"/>
        <w:ind w:hanging="480" w:left="480"/>
        <w:rPr>
          <w:rFonts w:ascii="ＭＳ 明朝" w:hAnsi="ＭＳ 明朝"/>
          <w:sz w:val="24"/>
        </w:rPr>
      </w:pPr>
      <w:r>
        <w:rPr>
          <w:rFonts w:ascii="ＭＳ 明朝" w:hAnsi="ＭＳ 明朝"/>
          <w:sz w:val="24"/>
        </w:rPr>
        <w:t>　</w:t>
      </w:r>
      <w:r>
        <w:rPr>
          <w:rFonts w:ascii="ＭＳ 明朝" w:hAnsi="ＭＳ 明朝"/>
          <w:sz w:val="24"/>
        </w:rPr>
        <w:t xml:space="preserve">(3) </w:t>
      </w:r>
      <w:r>
        <w:rPr>
          <w:rFonts w:ascii="ＭＳ 明朝" w:hAnsi="ＭＳ 明朝"/>
          <w:sz w:val="24"/>
        </w:rPr>
        <w:t>重点品目以外の物品を調達する場合にあっても、できる限り環境負荷の少ない物品等の選択に努める。</w:t>
      </w:r>
    </w:p>
    <w:p>
      <w:pPr>
        <w:pStyle w:val="Normal"/>
        <w:bidi w:val="0"/>
        <w:ind w:hanging="480" w:left="480"/>
        <w:rPr>
          <w:rFonts w:ascii="ＭＳ 明朝" w:hAnsi="ＭＳ 明朝"/>
          <w:sz w:val="24"/>
        </w:rPr>
      </w:pPr>
      <w:r>
        <w:rPr>
          <w:rFonts w:ascii="ＭＳ 明朝" w:hAnsi="ＭＳ 明朝"/>
          <w:sz w:val="24"/>
        </w:rPr>
        <w:t>　</w:t>
      </w:r>
      <w:r>
        <w:rPr>
          <w:rFonts w:ascii="ＭＳ 明朝" w:hAnsi="ＭＳ 明朝"/>
          <w:sz w:val="24"/>
        </w:rPr>
        <w:t xml:space="preserve">(4) </w:t>
      </w:r>
      <w:r>
        <w:rPr>
          <w:rFonts w:ascii="ＭＳ 明朝" w:hAnsi="ＭＳ 明朝"/>
          <w:sz w:val="24"/>
        </w:rPr>
        <w:t>調達された環境物品等について、長期使用や適正使用、分別廃棄などを徹底し、期待される環境負荷の低減が着実に発揮されるよう努める。</w:t>
      </w:r>
    </w:p>
    <w:p>
      <w:pPr>
        <w:pStyle w:val="Normal"/>
        <w:bidi w:val="0"/>
        <w:ind w:hanging="480" w:left="480"/>
        <w:rPr>
          <w:rFonts w:ascii="ＭＳ 明朝" w:hAnsi="ＭＳ 明朝"/>
          <w:sz w:val="24"/>
        </w:rPr>
      </w:pPr>
      <w:r>
        <w:rPr>
          <w:rFonts w:ascii="ＭＳ 明朝" w:hAnsi="ＭＳ 明朝"/>
          <w:sz w:val="24"/>
        </w:rPr>
        <w:t>　</w:t>
      </w:r>
      <w:r>
        <w:rPr>
          <w:rFonts w:ascii="ＭＳ 明朝" w:hAnsi="ＭＳ 明朝"/>
          <w:sz w:val="24"/>
        </w:rPr>
        <w:t xml:space="preserve">(5) </w:t>
      </w:r>
      <w:r>
        <w:rPr>
          <w:rFonts w:ascii="ＭＳ 明朝" w:hAnsi="ＭＳ 明朝"/>
          <w:sz w:val="24"/>
        </w:rPr>
        <w:t>物品等の納入等に携わる業者の選定に当たっては、業者自身の環境保全に対する取組みを考慮する。</w:t>
      </w:r>
    </w:p>
    <w:p>
      <w:pPr>
        <w:pStyle w:val="Normal"/>
        <w:bidi w:val="0"/>
        <w:ind w:hanging="480" w:left="480"/>
        <w:rPr>
          <w:rFonts w:ascii="ＭＳ 明朝" w:hAnsi="ＭＳ 明朝"/>
          <w:sz w:val="24"/>
        </w:rPr>
      </w:pPr>
      <w:r>
        <w:rPr>
          <w:rFonts w:ascii="ＭＳ 明朝" w:hAnsi="ＭＳ 明朝"/>
          <w:sz w:val="24"/>
        </w:rPr>
        <w:t>　</w:t>
      </w:r>
    </w:p>
    <w:p>
      <w:pPr>
        <w:pStyle w:val="Normal"/>
        <w:bidi w:val="0"/>
        <w:rPr>
          <w:rFonts w:ascii="ＭＳ 明朝" w:hAnsi="ＭＳ 明朝"/>
          <w:b/>
          <w:sz w:val="24"/>
        </w:rPr>
      </w:pPr>
      <w:r>
        <w:rPr>
          <w:rFonts w:ascii="ＭＳ 明朝" w:hAnsi="ＭＳ 明朝"/>
          <w:b/>
          <w:sz w:val="24"/>
        </w:rPr>
        <w:t>６．調達実績の記録、公表</w:t>
      </w:r>
    </w:p>
    <w:p>
      <w:pPr>
        <w:pStyle w:val="Normal"/>
        <w:bidi w:val="0"/>
        <w:ind w:hanging="480" w:left="480"/>
        <w:rPr>
          <w:rFonts w:ascii="ＭＳ 明朝" w:hAnsi="ＭＳ 明朝"/>
          <w:sz w:val="24"/>
        </w:rPr>
      </w:pPr>
      <w:r>
        <w:rPr>
          <w:rFonts w:ascii="ＭＳ 明朝" w:hAnsi="ＭＳ 明朝"/>
          <w:sz w:val="24"/>
        </w:rPr>
        <w:t>　</w:t>
      </w:r>
      <w:r>
        <w:rPr>
          <w:rFonts w:ascii="ＭＳ 明朝" w:hAnsi="ＭＳ 明朝"/>
          <w:sz w:val="24"/>
        </w:rPr>
        <w:t xml:space="preserve">(1) </w:t>
      </w:r>
      <w:r>
        <w:rPr>
          <w:rFonts w:ascii="ＭＳ 明朝" w:hAnsi="ＭＳ 明朝"/>
          <w:sz w:val="24"/>
        </w:rPr>
        <w:t>各所属長は、重点品目の調達実績を、経営企画部営繕管財課へ報告する。</w:t>
      </w:r>
    </w:p>
    <w:p>
      <w:pPr>
        <w:pStyle w:val="Normal"/>
        <w:bidi w:val="0"/>
        <w:ind w:hanging="480" w:left="480"/>
        <w:rPr>
          <w:rFonts w:ascii="ＭＳ 明朝" w:hAnsi="ＭＳ 明朝"/>
          <w:sz w:val="24"/>
        </w:rPr>
      </w:pPr>
      <w:r>
        <w:rPr>
          <w:rFonts w:ascii="ＭＳ 明朝" w:hAnsi="ＭＳ 明朝"/>
          <w:sz w:val="24"/>
        </w:rPr>
        <w:t>　</w:t>
      </w:r>
      <w:r>
        <w:rPr>
          <w:rFonts w:ascii="ＭＳ 明朝" w:hAnsi="ＭＳ 明朝"/>
          <w:sz w:val="24"/>
        </w:rPr>
        <w:t xml:space="preserve">(2) </w:t>
      </w:r>
      <w:r>
        <w:rPr>
          <w:rFonts w:ascii="ＭＳ 明朝" w:hAnsi="ＭＳ 明朝"/>
          <w:sz w:val="24"/>
        </w:rPr>
        <w:t>経営企画部営繕管財課は、調達計画および年間の調達実績を市広報等で公表する。</w:t>
      </w:r>
    </w:p>
    <w:p>
      <w:pPr>
        <w:pStyle w:val="Normal"/>
        <w:bidi w:val="0"/>
        <w:rPr>
          <w:rFonts w:ascii="ＭＳ 明朝" w:hAnsi="ＭＳ 明朝"/>
          <w:sz w:val="24"/>
        </w:rPr>
      </w:pPr>
      <w:r>
        <w:rPr>
          <w:rFonts w:ascii="ＭＳ 明朝" w:hAnsi="ＭＳ 明朝"/>
          <w:sz w:val="24"/>
        </w:rPr>
      </w:r>
    </w:p>
    <w:p>
      <w:pPr>
        <w:pStyle w:val="Normal"/>
        <w:bidi w:val="0"/>
        <w:rPr>
          <w:rFonts w:ascii="ＭＳ 明朝" w:hAnsi="ＭＳ 明朝"/>
          <w:b/>
          <w:sz w:val="24"/>
        </w:rPr>
      </w:pPr>
      <w:r>
        <w:rPr>
          <w:rFonts w:ascii="ＭＳ 明朝" w:hAnsi="ＭＳ 明朝"/>
          <w:b/>
          <w:sz w:val="24"/>
        </w:rPr>
        <w:t>７．推進体制</w:t>
      </w:r>
    </w:p>
    <w:p>
      <w:pPr>
        <w:pStyle w:val="Normal"/>
        <w:bidi w:val="0"/>
        <w:ind w:hanging="480" w:left="480"/>
        <w:rPr>
          <w:rFonts w:ascii="ＭＳ 明朝" w:hAnsi="ＭＳ 明朝"/>
          <w:sz w:val="24"/>
        </w:rPr>
      </w:pPr>
      <w:r>
        <w:rPr>
          <w:rFonts w:ascii="ＭＳ 明朝" w:hAnsi="ＭＳ 明朝"/>
          <w:sz w:val="24"/>
        </w:rPr>
        <w:t>　</w:t>
      </w:r>
      <w:r>
        <w:rPr>
          <w:rFonts w:ascii="ＭＳ 明朝" w:hAnsi="ＭＳ 明朝"/>
          <w:sz w:val="24"/>
        </w:rPr>
        <w:t xml:space="preserve">(1) </w:t>
      </w:r>
      <w:r>
        <w:rPr>
          <w:rFonts w:ascii="ＭＳ 明朝" w:hAnsi="ＭＳ 明朝"/>
          <w:sz w:val="24"/>
        </w:rPr>
        <w:t>経営</w:t>
      </w:r>
      <w:bookmarkStart w:id="0" w:name="_GoBack"/>
      <w:bookmarkEnd w:id="0"/>
      <w:r>
        <w:rPr>
          <w:rFonts w:ascii="ＭＳ 明朝" w:hAnsi="ＭＳ 明朝"/>
          <w:sz w:val="24"/>
        </w:rPr>
        <w:t>企画部営繕管財課は、重点品目の調達実績を確認し、推進方策等について検討を行う。</w:t>
      </w:r>
    </w:p>
    <w:p>
      <w:pPr>
        <w:pStyle w:val="Normal"/>
        <w:bidi w:val="0"/>
        <w:rPr>
          <w:rFonts w:ascii="ＭＳ 明朝" w:hAnsi="ＭＳ 明朝"/>
          <w:sz w:val="24"/>
        </w:rPr>
      </w:pPr>
      <w:r>
        <w:rPr>
          <w:rFonts w:ascii="ＭＳ 明朝" w:hAnsi="ＭＳ 明朝"/>
          <w:sz w:val="24"/>
        </w:rPr>
        <w:t>　</w:t>
      </w:r>
      <w:r>
        <w:rPr>
          <w:rFonts w:ascii="ＭＳ 明朝" w:hAnsi="ＭＳ 明朝"/>
          <w:sz w:val="24"/>
        </w:rPr>
        <w:t xml:space="preserve">(2) </w:t>
      </w:r>
      <w:r>
        <w:rPr>
          <w:rFonts w:ascii="ＭＳ 明朝" w:hAnsi="ＭＳ 明朝"/>
          <w:sz w:val="24"/>
        </w:rPr>
        <w:t>各所属長は、各所属におけるグリーン購入の推進に努める。</w:t>
      </w:r>
    </w:p>
    <w:p>
      <w:pPr>
        <w:pStyle w:val="Normal"/>
        <w:bidi w:val="0"/>
        <w:ind w:hanging="480" w:left="480"/>
        <w:rPr>
          <w:rFonts w:ascii="ＭＳ 明朝" w:hAnsi="ＭＳ 明朝"/>
          <w:sz w:val="24"/>
        </w:rPr>
      </w:pPr>
      <w:r>
        <w:rPr>
          <w:rFonts w:ascii="ＭＳ 明朝" w:hAnsi="ＭＳ 明朝"/>
          <w:sz w:val="24"/>
        </w:rPr>
        <w:t>　</w:t>
      </w:r>
      <w:r>
        <w:rPr>
          <w:rFonts w:ascii="ＭＳ 明朝" w:hAnsi="ＭＳ 明朝"/>
          <w:sz w:val="24"/>
        </w:rPr>
        <w:t xml:space="preserve">(3) </w:t>
      </w:r>
      <w:r>
        <w:rPr>
          <w:rFonts w:ascii="ＭＳ 明朝" w:hAnsi="ＭＳ 明朝"/>
          <w:sz w:val="24"/>
        </w:rPr>
        <w:t>調達実務担当者をはじめ職員に対し、グリーン購入の意義についての研修を行う。</w:t>
      </w:r>
    </w:p>
    <w:p>
      <w:pPr>
        <w:pStyle w:val="Normal"/>
        <w:bidi w:val="0"/>
        <w:rPr>
          <w:rFonts w:ascii="ＭＳ 明朝" w:hAnsi="ＭＳ 明朝"/>
          <w:sz w:val="24"/>
        </w:rPr>
      </w:pPr>
      <w:r>
        <w:rPr>
          <w:rFonts w:ascii="ＭＳ 明朝" w:hAnsi="ＭＳ 明朝"/>
          <w:sz w:val="24"/>
        </w:rPr>
      </w:r>
    </w:p>
    <w:p>
      <w:pPr>
        <w:pStyle w:val="Normal"/>
        <w:bidi w:val="0"/>
        <w:rPr>
          <w:rFonts w:ascii="ＭＳ 明朝" w:hAnsi="ＭＳ 明朝"/>
          <w:b/>
          <w:sz w:val="24"/>
        </w:rPr>
      </w:pPr>
      <w:r>
        <w:rPr>
          <w:rFonts w:ascii="ＭＳ 明朝" w:hAnsi="ＭＳ 明朝"/>
          <w:b/>
          <w:sz w:val="24"/>
        </w:rPr>
        <w:t>８．補助事業等への適用</w:t>
      </w:r>
    </w:p>
    <w:p>
      <w:pPr>
        <w:pStyle w:val="Normal"/>
        <w:bidi w:val="0"/>
        <w:ind w:hanging="480" w:left="480"/>
        <w:rPr>
          <w:rFonts w:ascii="ＭＳ 明朝" w:hAnsi="ＭＳ 明朝"/>
          <w:sz w:val="24"/>
        </w:rPr>
      </w:pPr>
      <w:r>
        <w:rPr>
          <w:rFonts w:ascii="ＭＳ 明朝" w:hAnsi="ＭＳ 明朝"/>
          <w:sz w:val="24"/>
        </w:rPr>
        <w:t>　　　補助事業や委託事業について、補助事業の事業主体または委託事業の受託業者が物品等を調達する場合についても、本方針に沿ったグリーン購入を要請していく。</w:t>
      </w:r>
    </w:p>
    <w:p>
      <w:pPr>
        <w:pStyle w:val="Normal"/>
        <w:bidi w:val="0"/>
        <w:rPr>
          <w:rFonts w:ascii="ＭＳ 明朝" w:hAnsi="ＭＳ 明朝"/>
          <w:sz w:val="24"/>
        </w:rPr>
      </w:pPr>
      <w:r>
        <w:rPr>
          <w:rFonts w:ascii="ＭＳ 明朝" w:hAnsi="ＭＳ 明朝"/>
          <w:sz w:val="24"/>
        </w:rPr>
      </w:r>
    </w:p>
    <w:p>
      <w:pPr>
        <w:pStyle w:val="Normal"/>
        <w:bidi w:val="0"/>
        <w:rPr>
          <w:rFonts w:ascii="ＭＳ 明朝" w:hAnsi="ＭＳ 明朝"/>
          <w:b/>
          <w:sz w:val="24"/>
        </w:rPr>
      </w:pPr>
      <w:r>
        <w:rPr>
          <w:rFonts w:ascii="ＭＳ 明朝" w:hAnsi="ＭＳ 明朝"/>
          <w:b/>
          <w:sz w:val="24"/>
        </w:rPr>
        <w:t>９．市民および事業者への普及</w:t>
      </w:r>
    </w:p>
    <w:p>
      <w:pPr>
        <w:pStyle w:val="Normal"/>
        <w:bidi w:val="0"/>
        <w:ind w:hanging="480" w:left="480"/>
        <w:rPr>
          <w:rFonts w:ascii="ＭＳ 明朝" w:hAnsi="ＭＳ 明朝"/>
          <w:sz w:val="24"/>
        </w:rPr>
      </w:pPr>
      <w:r>
        <w:rPr>
          <w:rFonts w:ascii="ＭＳ 明朝" w:hAnsi="ＭＳ 明朝"/>
          <w:sz w:val="24"/>
        </w:rPr>
        <w:t>　　　市は、グリーン購入に関する情報の収集に努め、これを市民および事業者に積極的に提供し、グリーン購入の普及に努める。</w:t>
      </w:r>
    </w:p>
    <w:p>
      <w:pPr>
        <w:pStyle w:val="Normal"/>
        <w:bidi w:val="0"/>
        <w:ind w:hanging="480" w:left="480"/>
        <w:rPr>
          <w:rFonts w:ascii="ＭＳ 明朝" w:hAnsi="ＭＳ 明朝"/>
          <w:sz w:val="24"/>
        </w:rPr>
      </w:pPr>
      <w:r>
        <w:rPr>
          <w:rFonts w:ascii="ＭＳ 明朝" w:hAnsi="ＭＳ 明朝"/>
          <w:sz w:val="24"/>
        </w:rPr>
      </w:r>
    </w:p>
    <w:p>
      <w:pPr>
        <w:pStyle w:val="Normal"/>
        <w:bidi w:val="0"/>
        <w:ind w:hanging="480" w:left="480"/>
        <w:rPr>
          <w:rFonts w:ascii="ＭＳ 明朝" w:hAnsi="ＭＳ 明朝"/>
          <w:sz w:val="24"/>
        </w:rPr>
      </w:pPr>
      <w:r>
        <w:rPr>
          <w:rFonts w:ascii="ＭＳ 明朝" w:hAnsi="ＭＳ 明朝"/>
          <w:sz w:val="24"/>
        </w:rPr>
      </w:r>
    </w:p>
    <w:p>
      <w:pPr>
        <w:pStyle w:val="Normal"/>
        <w:bidi w:val="0"/>
        <w:rPr>
          <w:rFonts w:ascii="ＭＳ 明朝" w:hAnsi="ＭＳ 明朝"/>
          <w:sz w:val="24"/>
        </w:rPr>
      </w:pPr>
      <w:r>
        <w:rPr>
          <w:rFonts w:ascii="ＭＳ 明朝" w:hAnsi="ＭＳ 明朝"/>
          <w:sz w:val="24"/>
        </w:rPr>
      </w:r>
    </w:p>
    <w:p>
      <w:pPr>
        <w:pStyle w:val="Normal"/>
        <w:bidi w:val="0"/>
        <w:rPr>
          <w:rFonts w:ascii="ＭＳ 明朝" w:hAnsi="ＭＳ 明朝"/>
          <w:sz w:val="24"/>
        </w:rPr>
      </w:pPr>
      <w:r>
        <w:rPr>
          <w:rFonts w:ascii="ＭＳ 明朝" w:hAnsi="ＭＳ 明朝"/>
          <w:sz w:val="24"/>
        </w:rPr>
        <w:t>附　則　本推進方針は、平成１７年４月１日から施行する。</w:t>
      </w:r>
    </w:p>
    <w:p>
      <w:pPr>
        <w:pStyle w:val="Normal"/>
        <w:bidi w:val="0"/>
        <w:rPr>
          <w:rFonts w:ascii="ＭＳ 明朝" w:hAnsi="ＭＳ 明朝"/>
          <w:sz w:val="24"/>
        </w:rPr>
      </w:pPr>
      <w:r>
        <w:rPr>
          <w:rFonts w:ascii="ＭＳ 明朝" w:hAnsi="ＭＳ 明朝"/>
          <w:sz w:val="24"/>
        </w:rPr>
        <w:t>附　則　本推進方針は、平成１８年４月１日から施行する。</w:t>
      </w:r>
    </w:p>
    <w:p>
      <w:pPr>
        <w:pStyle w:val="Normal"/>
        <w:bidi w:val="0"/>
        <w:rPr>
          <w:rFonts w:ascii="ＭＳ 明朝" w:hAnsi="ＭＳ 明朝"/>
          <w:sz w:val="24"/>
        </w:rPr>
      </w:pPr>
      <w:r>
        <w:rPr>
          <w:rFonts w:ascii="ＭＳ 明朝" w:hAnsi="ＭＳ 明朝"/>
          <w:sz w:val="24"/>
        </w:rPr>
        <w:t>附　則　本推進方針は、平成１９年４月１日から施行する。</w:t>
      </w:r>
    </w:p>
    <w:p>
      <w:pPr>
        <w:pStyle w:val="Normal"/>
        <w:bidi w:val="0"/>
        <w:rPr>
          <w:rFonts w:ascii="ＭＳ 明朝" w:hAnsi="ＭＳ 明朝"/>
          <w:sz w:val="24"/>
        </w:rPr>
      </w:pPr>
      <w:r>
        <w:rPr>
          <w:rFonts w:ascii="ＭＳ 明朝" w:hAnsi="ＭＳ 明朝"/>
          <w:sz w:val="24"/>
        </w:rPr>
        <w:t>附　則　本推進方針は、平成２０年４月１日から施行する。</w:t>
      </w:r>
    </w:p>
    <w:p>
      <w:pPr>
        <w:pStyle w:val="Normal"/>
        <w:bidi w:val="0"/>
        <w:rPr>
          <w:rFonts w:ascii="ＭＳ 明朝" w:hAnsi="ＭＳ 明朝"/>
          <w:sz w:val="24"/>
        </w:rPr>
      </w:pPr>
      <w:r>
        <w:rPr>
          <w:rFonts w:ascii="ＭＳ 明朝" w:hAnsi="ＭＳ 明朝"/>
          <w:sz w:val="24"/>
        </w:rPr>
        <w:t>附　則　本推進方針は、平成２１年４月１日から施行する。</w:t>
      </w:r>
    </w:p>
    <w:p>
      <w:pPr>
        <w:pStyle w:val="Normal"/>
        <w:bidi w:val="0"/>
        <w:rPr>
          <w:rFonts w:ascii="ＭＳ 明朝" w:hAnsi="ＭＳ 明朝"/>
          <w:sz w:val="24"/>
        </w:rPr>
      </w:pPr>
      <w:r>
        <w:rPr>
          <w:rFonts w:ascii="ＭＳ 明朝" w:hAnsi="ＭＳ 明朝"/>
          <w:sz w:val="24"/>
        </w:rPr>
        <w:t>附　則　本推進方針は、平成２２年４月１日から施行する。</w:t>
      </w:r>
    </w:p>
    <w:p>
      <w:pPr>
        <w:pStyle w:val="Normal"/>
        <w:bidi w:val="0"/>
        <w:rPr>
          <w:rFonts w:ascii="ＭＳ 明朝" w:hAnsi="ＭＳ 明朝"/>
          <w:sz w:val="24"/>
        </w:rPr>
      </w:pPr>
      <w:r>
        <w:rPr>
          <w:rFonts w:ascii="ＭＳ 明朝" w:hAnsi="ＭＳ 明朝"/>
          <w:sz w:val="24"/>
        </w:rPr>
        <w:t>附　則　本推進方針は、平成２３年４月１日から施行する。</w:t>
      </w:r>
    </w:p>
    <w:p>
      <w:pPr>
        <w:pStyle w:val="Normal"/>
        <w:bidi w:val="0"/>
        <w:rPr>
          <w:rFonts w:ascii="ＭＳ 明朝" w:hAnsi="ＭＳ 明朝"/>
          <w:sz w:val="24"/>
        </w:rPr>
      </w:pPr>
      <w:r>
        <w:rPr>
          <w:rFonts w:ascii="ＭＳ 明朝" w:hAnsi="ＭＳ 明朝"/>
          <w:sz w:val="24"/>
        </w:rPr>
        <w:t>附　則　本推進方針は、平成２４年４月１日から施行する。</w:t>
      </w:r>
    </w:p>
    <w:p>
      <w:pPr>
        <w:pStyle w:val="Normal"/>
        <w:bidi w:val="0"/>
        <w:rPr>
          <w:rFonts w:ascii="ＭＳ 明朝" w:hAnsi="ＭＳ 明朝"/>
          <w:sz w:val="24"/>
        </w:rPr>
      </w:pPr>
      <w:r>
        <w:rPr>
          <w:rFonts w:ascii="ＭＳ 明朝" w:hAnsi="ＭＳ 明朝"/>
          <w:sz w:val="24"/>
        </w:rPr>
        <w:t>附　則　本推進方針は、平成２５年４月１日から施行する。</w:t>
      </w:r>
    </w:p>
    <w:p>
      <w:pPr>
        <w:pStyle w:val="Normal"/>
        <w:bidi w:val="0"/>
        <w:rPr>
          <w:rFonts w:ascii="ＭＳ 明朝" w:hAnsi="ＭＳ 明朝"/>
          <w:sz w:val="24"/>
        </w:rPr>
      </w:pPr>
      <w:r>
        <w:rPr>
          <w:rFonts w:ascii="ＭＳ 明朝" w:hAnsi="ＭＳ 明朝"/>
          <w:sz w:val="24"/>
        </w:rPr>
        <w:t>附　則　本推進方針は、平成２６年４月１日から施行する。</w:t>
      </w:r>
    </w:p>
    <w:p>
      <w:pPr>
        <w:pStyle w:val="Normal"/>
        <w:bidi w:val="0"/>
        <w:rPr>
          <w:rFonts w:ascii="ＭＳ 明朝" w:hAnsi="ＭＳ 明朝"/>
          <w:sz w:val="24"/>
        </w:rPr>
      </w:pPr>
      <w:r>
        <w:rPr>
          <w:rFonts w:ascii="ＭＳ 明朝" w:hAnsi="ＭＳ 明朝"/>
          <w:sz w:val="24"/>
        </w:rPr>
        <w:t>附　則　本推進方針は、平成２７年４月１日から施行する。</w:t>
      </w:r>
    </w:p>
    <w:p>
      <w:pPr>
        <w:pStyle w:val="Normal"/>
        <w:bidi w:val="0"/>
        <w:rPr>
          <w:rFonts w:ascii="ＭＳ 明朝" w:hAnsi="ＭＳ 明朝"/>
          <w:sz w:val="24"/>
        </w:rPr>
      </w:pPr>
      <w:r>
        <w:rPr>
          <w:rFonts w:ascii="ＭＳ 明朝" w:hAnsi="ＭＳ 明朝"/>
          <w:sz w:val="24"/>
        </w:rPr>
        <w:t>附　則　本推進方針は、平成２８年４月１日から施行する。</w:t>
      </w:r>
    </w:p>
    <w:p>
      <w:pPr>
        <w:pStyle w:val="Normal"/>
        <w:bidi w:val="0"/>
        <w:rPr>
          <w:rFonts w:ascii="ＭＳ 明朝" w:hAnsi="ＭＳ 明朝"/>
          <w:sz w:val="24"/>
        </w:rPr>
      </w:pPr>
      <w:r>
        <w:rPr>
          <w:rFonts w:ascii="ＭＳ 明朝" w:hAnsi="ＭＳ 明朝"/>
          <w:sz w:val="24"/>
        </w:rPr>
        <w:t>附　則　本推進方針は、令和３年４月１日から施行する。</w:t>
      </w:r>
    </w:p>
    <w:p>
      <w:pPr>
        <w:pStyle w:val="Normal"/>
        <w:bidi w:val="0"/>
        <w:rPr>
          <w:rFonts w:ascii="ＭＳ 明朝" w:hAnsi="ＭＳ 明朝"/>
          <w:sz w:val="24"/>
        </w:rPr>
      </w:pPr>
      <w:r>
        <w:rPr>
          <w:rFonts w:ascii="ＭＳ 明朝" w:hAnsi="ＭＳ 明朝"/>
          <w:sz w:val="24"/>
        </w:rPr>
      </w:r>
    </w:p>
    <w:sectPr>
      <w:type w:val="nextPage"/>
      <w:pgSz w:w="11906" w:h="16838"/>
      <w:pgMar w:left="1588" w:right="1474" w:gutter="0" w:header="0" w:top="1701"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ＭＳ Ｐ明朝">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2"/>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lang w:val="en-US" w:eastAsia="ja-JP" w:bidi="hi-IN"/>
      </w:rPr>
    </w:rPrDefault>
    <w:pPrDefault>
      <w:pPr>
        <w:suppressAutoHyphens w:val="true"/>
      </w:pPr>
    </w:pPrDefault>
  </w:docDefaults>
  <w:style w:type="paragraph" w:styleId="Normal" w:default="1">
    <w:name w:val="Normal"/>
    <w:uiPriority w:val="0"/>
    <w:qFormat/>
    <w:pPr>
      <w:widowControl w:val="false"/>
      <w:bidi w:val="0"/>
      <w:jc w:val="both"/>
    </w:pPr>
    <w:rPr>
      <w:rFonts w:ascii="Century" w:hAnsi="Century" w:eastAsia="ＭＳ 明朝" w:cs="Arial"/>
      <w:color w:val="auto"/>
      <w:kern w:val="2"/>
      <w:sz w:val="21"/>
      <w:szCs w:val="20"/>
      <w:lang w:val="en-US" w:eastAsia="ja-JP" w:bidi="hi-IN"/>
    </w:rPr>
  </w:style>
  <w:style w:type="character" w:styleId="DefaultParagraphFont" w:default="1">
    <w:name w:val="Default Paragraph Font"/>
    <w:uiPriority w:val="0"/>
    <w:semiHidden/>
    <w:qFormat/>
    <w:rPr/>
  </w:style>
  <w:style w:type="character" w:styleId="Style14" w:customStyle="1">
    <w:name w:val="ヘッダー (文字)"/>
    <w:uiPriority w:val="0"/>
    <w:qFormat/>
    <w:rPr>
      <w:kern w:val="2"/>
      <w:sz w:val="21"/>
    </w:rPr>
  </w:style>
  <w:style w:type="character" w:styleId="Style15" w:customStyle="1">
    <w:name w:val="フッター (文字)"/>
    <w:uiPriority w:val="0"/>
    <w:qFormat/>
    <w:rPr>
      <w:kern w:val="2"/>
      <w:sz w:val="21"/>
    </w:rPr>
  </w:style>
  <w:style w:type="character" w:styleId="Style16" w:customStyle="1">
    <w:name w:val="吹き出し (文字)"/>
    <w:link w:val="BalloonText"/>
    <w:uiPriority w:val="0"/>
    <w:qFormat/>
    <w:rPr>
      <w:rFonts w:ascii="游ゴシック Light" w:hAnsi="游ゴシック Light" w:eastAsia="游ゴシック Light"/>
      <w:kern w:val="2"/>
      <w:sz w:val="18"/>
    </w:rPr>
  </w:style>
  <w:style w:type="character" w:styleId="Style17" w:customStyle="1">
    <w:name w:val="日付 (文字)"/>
    <w:basedOn w:val="DefaultParagraphFont"/>
    <w:link w:val="Date"/>
    <w:uiPriority w:val="0"/>
    <w:qFormat/>
    <w:rPr>
      <w:kern w:val="2"/>
      <w:sz w:val="21"/>
    </w:rPr>
  </w:style>
  <w:style w:type="character" w:styleId="Style18">
    <w:name w:val="脚注番号"/>
    <w:basedOn w:val="DefaultParagraphFont"/>
    <w:uiPriority w:val="0"/>
    <w:semiHidden/>
    <w:qFormat/>
    <w:rPr>
      <w:vertAlign w:val="superscript"/>
    </w:rPr>
  </w:style>
  <w:style w:type="character" w:styleId="FootnoteReference">
    <w:name w:val="Footnote Reference"/>
    <w:rPr>
      <w:vertAlign w:val="superscript"/>
    </w:rPr>
  </w:style>
  <w:style w:type="character" w:styleId="Style19">
    <w:name w:val="文末脚注番号"/>
    <w:basedOn w:val="DefaultParagraphFont"/>
    <w:uiPriority w:val="0"/>
    <w:semiHidden/>
    <w:qFormat/>
    <w:rPr>
      <w:vertAlign w:val="superscript"/>
    </w:rPr>
  </w:style>
  <w:style w:type="character" w:styleId="EndnoteReference">
    <w:name w:val="Endnote Reference"/>
    <w:rPr>
      <w:vertAlign w:val="superscript"/>
    </w:rPr>
  </w:style>
  <w:style w:type="paragraph" w:styleId="Style20">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ヘッダーとフッター"/>
    <w:basedOn w:val="Normal"/>
    <w:qFormat/>
    <w:pPr/>
    <w:rPr/>
  </w:style>
  <w:style w:type="paragraph" w:styleId="Header">
    <w:name w:val="Header"/>
    <w:basedOn w:val="Normal"/>
    <w:link w:val="Style14"/>
    <w:uiPriority w:val="0"/>
    <w:pPr>
      <w:tabs>
        <w:tab w:val="clear" w:pos="851"/>
        <w:tab w:val="center" w:pos="4252" w:leader="none"/>
        <w:tab w:val="right" w:pos="8504" w:leader="none"/>
      </w:tabs>
      <w:snapToGrid w:val="false"/>
    </w:pPr>
    <w:rPr/>
  </w:style>
  <w:style w:type="paragraph" w:styleId="Footer">
    <w:name w:val="Footer"/>
    <w:basedOn w:val="Normal"/>
    <w:link w:val="Style15"/>
    <w:uiPriority w:val="0"/>
    <w:pPr>
      <w:tabs>
        <w:tab w:val="clear" w:pos="851"/>
        <w:tab w:val="center" w:pos="4252" w:leader="none"/>
        <w:tab w:val="right" w:pos="8504" w:leader="none"/>
      </w:tabs>
      <w:snapToGrid w:val="false"/>
    </w:pPr>
    <w:rPr/>
  </w:style>
  <w:style w:type="paragraph" w:styleId="BalloonText">
    <w:name w:val="Balloon Text"/>
    <w:basedOn w:val="Normal"/>
    <w:link w:val="Style16"/>
    <w:uiPriority w:val="0"/>
    <w:semiHidden/>
    <w:qFormat/>
    <w:pPr/>
    <w:rPr>
      <w:rFonts w:ascii="游ゴシック Light" w:hAnsi="游ゴシック Light" w:eastAsia="游ゴシック Light"/>
      <w:sz w:val="18"/>
    </w:rPr>
  </w:style>
  <w:style w:type="paragraph" w:styleId="Date">
    <w:name w:val="Date"/>
    <w:basedOn w:val="Normal"/>
    <w:next w:val="Normal"/>
    <w:link w:val="Style17"/>
    <w:uiPriority w:val="0"/>
    <w:qFormat/>
    <w:pPr/>
    <w:rPr/>
  </w:style>
  <w:style w:type="table" w:default="1" w:styleId="11">
    <w:name w:val="Normal Table"/>
    <w:uiPriority w:val="0"/>
    <w:semiHidden/>
    <w:tblPr>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itchFamily="0" charset="1"/>
        <a:ea typeface=""/>
        <a:cs typeface=""/>
      </a:majorFont>
      <a:minorFont>
        <a:latin typeface="游明朝"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Template>
  <TotalTime>1</TotalTime>
  <Application>LibreOffice/7.6.3.2$Windows_X86_64 LibreOffice_project/29d686fea9f6705b262d369fede658f824154cc0</Application>
  <AppVersion>15.0000</AppVersion>
  <Pages>4</Pages>
  <Words>1884</Words>
  <Characters>1908</Characters>
  <CharactersWithSpaces>2038</CharactersWithSpaces>
  <Paragraphs>64</Paragraphs>
  <Company>FJ-WORK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2023-05-30T07:01:00Z</dcterms:created>
  <dc:creator>服部圭代</dc:creator>
  <dc:description/>
  <dc:language>ja-JP</dc:language>
  <cp:lastModifiedBy>一瀬 晶吾</cp:lastModifiedBy>
  <cp:lastPrinted>2017-06-26T00:40:00Z</cp:lastPrinted>
  <dcterms:modified xsi:type="dcterms:W3CDTF">2024-06-28T04:34:10Z</dcterms:modified>
  <cp:revision>3</cp:revision>
  <dc:subject/>
  <dc:title>小浜市グリーン購入推進方針</dc:title>
</cp:coreProperties>
</file>

<file path=docProps/custom.xml><?xml version="1.0" encoding="utf-8"?>
<Properties xmlns="http://schemas.openxmlformats.org/officeDocument/2006/custom-properties" xmlns:vt="http://schemas.openxmlformats.org/officeDocument/2006/docPropsVTypes"/>
</file>