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sz w:val="22"/>
        </w:rPr>
      </w:pPr>
    </w:p>
    <w:p>
      <w:pPr>
        <w:pStyle w:val="0"/>
        <w:rPr>
          <w:rFonts w:hint="eastAsia" w:ascii="ＭＳ ゴシック" w:hAnsi="ＭＳ ゴシック" w:eastAsia="ＭＳ ゴシック"/>
          <w:sz w:val="22"/>
        </w:rPr>
      </w:pPr>
      <w:r>
        <w:rPr>
          <w:rFonts w:hint="eastAsia" w:ascii="ＭＳ ゴシック" w:hAnsi="ＭＳ ゴシック" w:eastAsia="ＭＳ ゴシック"/>
          <w:sz w:val="22"/>
        </w:rPr>
        <w:t>様式第１</w:t>
      </w:r>
    </w:p>
    <w:tbl>
      <w:tblPr>
        <w:tblStyle w:val="11"/>
        <w:tblW w:w="9120"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9120"/>
      </w:tblGrid>
      <w:tr>
        <w:trPr>
          <w:trHeight w:val="8874" w:hRule="atLeast"/>
        </w:trPr>
        <w:tc>
          <w:tcPr>
            <w:tcW w:w="912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ゴシック" w:hAnsi="ＭＳ ゴシック" w:eastAsia="ＭＳ ゴシック"/>
                <w:sz w:val="22"/>
              </w:rPr>
            </w:pPr>
          </w:p>
          <w:p>
            <w:pPr>
              <w:pStyle w:val="0"/>
              <w:jc w:val="center"/>
              <w:rPr>
                <w:rFonts w:hint="eastAsia" w:ascii="ＭＳ ゴシック" w:hAnsi="ＭＳ ゴシック" w:eastAsia="ＭＳ ゴシック"/>
              </w:rPr>
            </w:pPr>
            <w:r>
              <w:rPr>
                <w:rFonts w:hint="eastAsia" w:ascii="ＭＳ ゴシック" w:hAnsi="ＭＳ ゴシック" w:eastAsia="ＭＳ ゴシック"/>
              </w:rPr>
              <w:t>中小企業信用保険法第２条第５項</w:t>
            </w:r>
            <w:r>
              <w:rPr>
                <w:rFonts w:hint="eastAsia" w:ascii="ＭＳ ゴシック" w:hAnsi="ＭＳ ゴシック" w:eastAsia="ＭＳ ゴシック"/>
                <w:kern w:val="0"/>
              </w:rPr>
              <w:t>第１号の規定による認定申請書</w:t>
            </w:r>
          </w:p>
          <w:p>
            <w:pPr>
              <w:pStyle w:val="0"/>
              <w:rPr>
                <w:rFonts w:hint="eastAsia" w:ascii="ＭＳ ゴシック" w:hAnsi="ＭＳ ゴシック" w:eastAsia="ＭＳ ゴシック"/>
                <w:sz w:val="22"/>
              </w:rPr>
            </w:pPr>
          </w:p>
          <w:p>
            <w:pPr>
              <w:pStyle w:val="0"/>
              <w:jc w:val="right"/>
              <w:rPr>
                <w:rFonts w:hint="eastAsia" w:ascii="ＭＳ ゴシック" w:hAnsi="ＭＳ ゴシック" w:eastAsia="ＭＳ ゴシック"/>
                <w:sz w:val="22"/>
              </w:rPr>
            </w:pPr>
            <w:r>
              <w:rPr>
                <w:rFonts w:hint="eastAsia" w:ascii="ＭＳ ゴシック" w:hAnsi="ＭＳ ゴシック" w:eastAsia="ＭＳ ゴシック"/>
                <w:sz w:val="22"/>
              </w:rPr>
              <w:t>　　　年　　　月　　　日</w:t>
            </w:r>
          </w:p>
          <w:p>
            <w:pPr>
              <w:pStyle w:val="0"/>
              <w:ind w:firstLine="220" w:firstLineChars="100"/>
              <w:rPr>
                <w:rFonts w:hint="eastAsia" w:ascii="ＭＳ ゴシック" w:hAnsi="ＭＳ ゴシック" w:eastAsia="ＭＳ ゴシック"/>
                <w:sz w:val="22"/>
              </w:rPr>
            </w:pPr>
            <w:bookmarkStart w:id="0" w:name="_GoBack"/>
            <w:bookmarkEnd w:id="0"/>
            <w:r>
              <w:rPr>
                <w:rFonts w:hint="eastAsia" w:ascii="ＭＳ ゴシック" w:hAnsi="ＭＳ ゴシック" w:eastAsia="ＭＳ ゴシック"/>
                <w:sz w:val="22"/>
              </w:rPr>
              <w:t>小浜市長　　杉本　和範　様</w:t>
            </w:r>
          </w:p>
          <w:p>
            <w:pPr>
              <w:pStyle w:val="0"/>
              <w:rPr>
                <w:rFonts w:hint="eastAsia" w:ascii="ＭＳ ゴシック" w:hAnsi="ＭＳ ゴシック" w:eastAsia="ＭＳ ゴシック"/>
                <w:sz w:val="22"/>
              </w:rPr>
            </w:pPr>
          </w:p>
          <w:p>
            <w:pPr>
              <w:pStyle w:val="0"/>
              <w:rPr>
                <w:rFonts w:hint="eastAsia" w:ascii="ＭＳ ゴシック" w:hAnsi="ＭＳ ゴシック" w:eastAsia="ＭＳ ゴシック"/>
                <w:sz w:val="22"/>
              </w:rPr>
            </w:pPr>
            <w:r>
              <w:rPr>
                <w:rFonts w:hint="eastAsia" w:ascii="ＭＳ ゴシック" w:hAnsi="ＭＳ ゴシック" w:eastAsia="ＭＳ ゴシック"/>
                <w:sz w:val="22"/>
              </w:rPr>
              <w:t>　　　　　　　　　　　　　　　申請者　住　所　</w:t>
            </w:r>
            <w:r>
              <w:rPr>
                <w:rFonts w:hint="eastAsia" w:ascii="ＭＳ ゴシック" w:hAnsi="ＭＳ ゴシック" w:eastAsia="ＭＳ ゴシック"/>
                <w:sz w:val="22"/>
                <w:u w:val="single" w:color="auto"/>
              </w:rPr>
              <w:t>　　　　　　　　　　　　　　　　</w:t>
            </w:r>
          </w:p>
          <w:p>
            <w:pPr>
              <w:pStyle w:val="0"/>
              <w:rPr>
                <w:rFonts w:hint="eastAsia" w:ascii="ＭＳ ゴシック" w:hAnsi="ＭＳ ゴシック" w:eastAsia="ＭＳ ゴシック"/>
                <w:sz w:val="22"/>
              </w:rPr>
            </w:pPr>
          </w:p>
          <w:p>
            <w:pPr>
              <w:pStyle w:val="0"/>
              <w:rPr>
                <w:rFonts w:hint="eastAsia" w:ascii="ＭＳ ゴシック" w:hAnsi="ＭＳ ゴシック" w:eastAsia="ＭＳ ゴシック"/>
                <w:sz w:val="22"/>
              </w:rPr>
            </w:pPr>
            <w:r>
              <w:rPr>
                <w:rFonts w:hint="eastAsia" w:ascii="ＭＳ ゴシック" w:hAnsi="ＭＳ ゴシック" w:eastAsia="ＭＳ ゴシック"/>
                <w:sz w:val="22"/>
              </w:rPr>
              <w:t>　　　　　　　　　　　　　　　　　　　氏　名　</w:t>
            </w:r>
            <w:r>
              <w:rPr>
                <w:rFonts w:hint="eastAsia" w:ascii="ＭＳ ゴシック" w:hAnsi="ＭＳ ゴシック" w:eastAsia="ＭＳ ゴシック"/>
                <w:sz w:val="22"/>
                <w:u w:val="single" w:color="auto"/>
              </w:rPr>
              <w:t>　</w:t>
            </w:r>
            <w:r>
              <w:rPr>
                <w:rFonts w:hint="eastAsia" w:ascii="ＭＳ ゴシック" w:hAnsi="ＭＳ ゴシック" w:eastAsia="ＭＳ ゴシック"/>
                <w:color w:val="000000"/>
                <w:kern w:val="0"/>
                <w:sz w:val="22"/>
                <w:u w:val="single" w:color="000000"/>
              </w:rPr>
              <w:t>（名称および代表者の氏名）</w:t>
            </w:r>
            <w:r>
              <w:rPr>
                <w:rFonts w:hint="eastAsia" w:ascii="ＭＳ ゴシック" w:hAnsi="ＭＳ ゴシック" w:eastAsia="ＭＳ ゴシック"/>
                <w:sz w:val="22"/>
                <w:u w:val="single" w:color="auto"/>
              </w:rPr>
              <w:t>　　</w:t>
            </w:r>
          </w:p>
          <w:p>
            <w:pPr>
              <w:pStyle w:val="0"/>
              <w:rPr>
                <w:rFonts w:hint="eastAsia" w:ascii="ＭＳ ゴシック" w:hAnsi="ＭＳ ゴシック" w:eastAsia="ＭＳ ゴシック"/>
                <w:sz w:val="22"/>
              </w:rPr>
            </w:pPr>
          </w:p>
          <w:p>
            <w:pPr>
              <w:pStyle w:val="0"/>
              <w:rPr>
                <w:rFonts w:hint="eastAsia" w:ascii="ＭＳ ゴシック" w:hAnsi="ＭＳ ゴシック" w:eastAsia="ＭＳ ゴシック"/>
                <w:sz w:val="22"/>
              </w:rPr>
            </w:pPr>
            <w:r>
              <w:rPr>
                <w:rFonts w:hint="eastAsia" w:ascii="ＭＳ ゴシック" w:hAnsi="ＭＳ ゴシック" w:eastAsia="ＭＳ ゴシック"/>
                <w:sz w:val="22"/>
              </w:rPr>
              <w:t>　私は、</w:t>
            </w:r>
            <w:r>
              <w:rPr>
                <w:rFonts w:hint="eastAsia" w:ascii="ＭＳ ゴシック" w:hAnsi="ＭＳ ゴシック" w:eastAsia="ＭＳ ゴシック"/>
                <w:sz w:val="22"/>
                <w:u w:val="dotted" w:color="auto"/>
              </w:rPr>
              <w:t>　　　　　　　　</w:t>
            </w:r>
            <w:r>
              <w:rPr>
                <w:rFonts w:hint="eastAsia" w:ascii="ＭＳ ゴシック" w:hAnsi="ＭＳ ゴシック" w:eastAsia="ＭＳ ゴシック"/>
                <w:sz w:val="22"/>
              </w:rPr>
              <w:t>が、　　　　年　　月　　日</w:t>
            </w:r>
            <w:r>
              <w:rPr>
                <w:rFonts w:hint="eastAsia" w:ascii="ＭＳ ゴシック" w:hAnsi="ＭＳ ゴシック" w:eastAsia="ＭＳ ゴシック"/>
                <w:sz w:val="22"/>
                <w:u w:val="single" w:color="auto"/>
              </w:rPr>
              <w:t>　　　　　　　（注１）</w:t>
            </w:r>
            <w:r>
              <w:rPr>
                <w:rFonts w:hint="eastAsia" w:ascii="ＭＳ ゴシック" w:hAnsi="ＭＳ ゴシック" w:eastAsia="ＭＳ ゴシック"/>
                <w:sz w:val="22"/>
              </w:rPr>
              <w:t>の申し立てを行ったことにより、下記のとおり同事業者に対する売掛金の回収が困難となったことにより、経営の安定に支障が生じておりますので、中小企業信用保険法第２条第５項第１号の規定に基づき認定されるようにお願いします。</w:t>
            </w:r>
          </w:p>
          <w:p>
            <w:pPr>
              <w:pStyle w:val="0"/>
              <w:rPr>
                <w:rFonts w:hint="eastAsia" w:ascii="ＭＳ ゴシック" w:hAnsi="ＭＳ ゴシック" w:eastAsia="ＭＳ ゴシック"/>
                <w:sz w:val="22"/>
              </w:rPr>
            </w:pPr>
          </w:p>
          <w:p>
            <w:pPr>
              <w:pStyle w:val="15"/>
              <w:rPr>
                <w:rFonts w:hint="eastAsia" w:ascii="ＭＳ ゴシック" w:hAnsi="ＭＳ ゴシック" w:eastAsia="ＭＳ ゴシック"/>
                <w:sz w:val="22"/>
              </w:rPr>
            </w:pPr>
            <w:r>
              <w:rPr>
                <w:rFonts w:hint="eastAsia" w:ascii="ＭＳ ゴシック" w:hAnsi="ＭＳ ゴシック" w:eastAsia="ＭＳ ゴシック"/>
                <w:sz w:val="22"/>
              </w:rPr>
              <w:t>記</w:t>
            </w:r>
          </w:p>
          <w:p>
            <w:pPr>
              <w:pStyle w:val="0"/>
              <w:rPr>
                <w:rFonts w:hint="eastAsia" w:ascii="ＭＳ ゴシック" w:hAnsi="ＭＳ ゴシック" w:eastAsia="ＭＳ ゴシック"/>
                <w:sz w:val="22"/>
              </w:rPr>
            </w:pPr>
          </w:p>
          <w:p>
            <w:pPr>
              <w:pStyle w:val="0"/>
              <w:rPr>
                <w:rFonts w:hint="eastAsia" w:ascii="ＭＳ ゴシック" w:hAnsi="ＭＳ ゴシック" w:eastAsia="ＭＳ ゴシック"/>
                <w:sz w:val="22"/>
              </w:rPr>
            </w:pPr>
            <w:r>
              <w:rPr>
                <w:rFonts w:hint="eastAsia" w:ascii="ＭＳ ゴシック" w:hAnsi="ＭＳ ゴシック" w:eastAsia="ＭＳ ゴシック"/>
                <w:sz w:val="22"/>
              </w:rPr>
              <w:t>　１</w:t>
            </w:r>
            <w:r>
              <w:rPr>
                <w:rFonts w:hint="eastAsia" w:ascii="ＭＳ ゴシック" w:hAnsi="ＭＳ ゴシック" w:eastAsia="ＭＳ ゴシック"/>
                <w:sz w:val="22"/>
                <w:u w:val="dotted" w:color="auto"/>
              </w:rPr>
              <w:t>　　　　　　　　</w:t>
            </w:r>
            <w:r>
              <w:rPr>
                <w:rFonts w:hint="eastAsia" w:ascii="ＭＳ ゴシック" w:hAnsi="ＭＳ ゴシック" w:eastAsia="ＭＳ ゴシック"/>
                <w:sz w:val="22"/>
              </w:rPr>
              <w:t>に対する売掛金　　　　　　</w:t>
            </w:r>
            <w:r>
              <w:rPr>
                <w:rFonts w:hint="eastAsia" w:ascii="ＭＳ ゴシック" w:hAnsi="ＭＳ ゴシック" w:eastAsia="ＭＳ ゴシック"/>
                <w:sz w:val="22"/>
                <w:u w:val="single" w:color="auto"/>
              </w:rPr>
              <w:t>　　　　　　　　　　　円</w:t>
            </w:r>
          </w:p>
          <w:p>
            <w:pPr>
              <w:pStyle w:val="0"/>
              <w:rPr>
                <w:rFonts w:hint="eastAsia" w:ascii="ＭＳ ゴシック" w:hAnsi="ＭＳ ゴシック" w:eastAsia="ＭＳ ゴシック"/>
                <w:sz w:val="22"/>
              </w:rPr>
            </w:pPr>
            <w:r>
              <w:rPr>
                <w:rFonts w:hint="eastAsia" w:ascii="ＭＳ ゴシック" w:hAnsi="ＭＳ ゴシック" w:eastAsia="ＭＳ ゴシック"/>
                <w:sz w:val="22"/>
              </w:rPr>
              <w:t>　　</w:t>
            </w:r>
          </w:p>
          <w:p>
            <w:pPr>
              <w:pStyle w:val="0"/>
              <w:ind w:firstLine="440" w:firstLineChars="200"/>
              <w:rPr>
                <w:rFonts w:hint="eastAsia" w:ascii="ＭＳ ゴシック" w:hAnsi="ＭＳ ゴシック" w:eastAsia="ＭＳ ゴシック"/>
                <w:sz w:val="22"/>
              </w:rPr>
            </w:pPr>
            <w:r>
              <w:rPr>
                <w:rFonts w:hint="eastAsia" w:ascii="ＭＳ ゴシック" w:hAnsi="ＭＳ ゴシック" w:eastAsia="ＭＳ ゴシック"/>
                <w:sz w:val="22"/>
              </w:rPr>
              <w:t>うち回収困難な額　　　　　　　　　　　　　　　　　</w:t>
            </w:r>
            <w:r>
              <w:rPr>
                <w:rFonts w:hint="eastAsia" w:ascii="ＭＳ ゴシック" w:hAnsi="ＭＳ ゴシック" w:eastAsia="ＭＳ ゴシック"/>
                <w:sz w:val="22"/>
                <w:u w:val="single" w:color="auto"/>
              </w:rPr>
              <w:t>　　　　　　　　　　　円</w:t>
            </w:r>
          </w:p>
          <w:p>
            <w:pPr>
              <w:pStyle w:val="0"/>
              <w:rPr>
                <w:rFonts w:hint="eastAsia" w:ascii="ＭＳ ゴシック" w:hAnsi="ＭＳ ゴシック" w:eastAsia="ＭＳ ゴシック"/>
                <w:sz w:val="22"/>
              </w:rPr>
            </w:pPr>
          </w:p>
          <w:p>
            <w:pPr>
              <w:pStyle w:val="0"/>
              <w:rPr>
                <w:rFonts w:hint="eastAsia" w:ascii="ＭＳ ゴシック" w:hAnsi="ＭＳ ゴシック" w:eastAsia="ＭＳ ゴシック"/>
                <w:sz w:val="22"/>
              </w:rPr>
            </w:pPr>
            <w:r>
              <w:rPr>
                <w:rFonts w:hint="eastAsia" w:ascii="ＭＳ ゴシック" w:hAnsi="ＭＳ ゴシック" w:eastAsia="ＭＳ ゴシック"/>
                <w:sz w:val="22"/>
              </w:rPr>
              <w:t>　２</w:t>
            </w:r>
            <w:r>
              <w:rPr>
                <w:rFonts w:hint="eastAsia" w:ascii="ＭＳ ゴシック" w:hAnsi="ＭＳ ゴシック" w:eastAsia="ＭＳ ゴシック"/>
                <w:sz w:val="22"/>
                <w:u w:val="dotted" w:color="auto"/>
              </w:rPr>
              <w:t>　　　　　　　　　</w:t>
            </w:r>
            <w:r>
              <w:rPr>
                <w:rFonts w:hint="eastAsia" w:ascii="ＭＳ ゴシック" w:hAnsi="ＭＳ ゴシック" w:eastAsia="ＭＳ ゴシック"/>
                <w:sz w:val="22"/>
              </w:rPr>
              <w:t>に対する取引依存度　　　　　　　</w:t>
            </w:r>
            <w:r>
              <w:rPr>
                <w:rFonts w:hint="eastAsia" w:ascii="ＭＳ ゴシック" w:hAnsi="ＭＳ ゴシック" w:eastAsia="ＭＳ ゴシック"/>
                <w:sz w:val="22"/>
                <w:u w:val="single" w:color="auto"/>
              </w:rPr>
              <w:t>　　　　　　％（Ａ／Ｂ）</w:t>
            </w:r>
          </w:p>
          <w:p>
            <w:pPr>
              <w:pStyle w:val="0"/>
              <w:rPr>
                <w:rFonts w:hint="eastAsia" w:ascii="ＭＳ ゴシック" w:hAnsi="ＭＳ ゴシック" w:eastAsia="ＭＳ ゴシック"/>
                <w:sz w:val="22"/>
              </w:rPr>
            </w:pPr>
            <w:r>
              <w:rPr>
                <w:rFonts w:hint="eastAsia" w:ascii="ＭＳ ゴシック" w:hAnsi="ＭＳ ゴシック" w:eastAsia="ＭＳ ゴシック"/>
                <w:sz w:val="22"/>
              </w:rPr>
              <w:t>　　</w:t>
            </w:r>
          </w:p>
          <w:p>
            <w:pPr>
              <w:pStyle w:val="0"/>
              <w:ind w:firstLine="440" w:firstLineChars="200"/>
              <w:rPr>
                <w:rFonts w:hint="eastAsia" w:ascii="ＭＳ ゴシック" w:hAnsi="ＭＳ ゴシック" w:eastAsia="ＭＳ ゴシック"/>
                <w:sz w:val="22"/>
              </w:rPr>
            </w:pPr>
            <w:r>
              <w:rPr>
                <w:rFonts w:hint="eastAsia" w:ascii="ＭＳ ゴシック" w:hAnsi="ＭＳ ゴシック" w:eastAsia="ＭＳ ゴシック"/>
                <w:sz w:val="22"/>
              </w:rPr>
              <w:t>Ａ：　　　　年　　月　　日から　　　年　　月　　日までの</w:t>
            </w:r>
            <w:r>
              <w:rPr>
                <w:rFonts w:hint="eastAsia" w:ascii="ＭＳ ゴシック" w:hAnsi="ＭＳ ゴシック" w:eastAsia="ＭＳ ゴシック"/>
                <w:sz w:val="22"/>
                <w:u w:val="dotted" w:color="auto"/>
              </w:rPr>
              <w:t>　　　　　　　　</w:t>
            </w:r>
            <w:r>
              <w:rPr>
                <w:rFonts w:hint="eastAsia" w:ascii="ＭＳ ゴシック" w:hAnsi="ＭＳ ゴシック" w:eastAsia="ＭＳ ゴシック"/>
                <w:sz w:val="22"/>
              </w:rPr>
              <w:t>に</w:t>
            </w:r>
          </w:p>
          <w:p>
            <w:pPr>
              <w:pStyle w:val="0"/>
              <w:rPr>
                <w:rFonts w:hint="eastAsia" w:ascii="ＭＳ ゴシック" w:hAnsi="ＭＳ ゴシック" w:eastAsia="ＭＳ ゴシック"/>
                <w:sz w:val="22"/>
                <w:u w:val="single" w:color="auto"/>
              </w:rPr>
            </w:pPr>
            <w:r>
              <w:rPr>
                <w:rFonts w:hint="eastAsia" w:ascii="ＭＳ ゴシック" w:hAnsi="ＭＳ ゴシック" w:eastAsia="ＭＳ ゴシック"/>
                <w:sz w:val="22"/>
              </w:rPr>
              <w:t>　　　　対する取引額等　　　　　　　　　　　　　　　　</w:t>
            </w:r>
            <w:r>
              <w:rPr>
                <w:rFonts w:hint="eastAsia" w:ascii="ＭＳ ゴシック" w:hAnsi="ＭＳ ゴシック" w:eastAsia="ＭＳ ゴシック"/>
                <w:sz w:val="22"/>
                <w:u w:val="single" w:color="auto"/>
              </w:rPr>
              <w:t>　　　　　　　　　　　円</w:t>
            </w:r>
          </w:p>
          <w:p>
            <w:pPr>
              <w:pStyle w:val="0"/>
              <w:rPr>
                <w:rFonts w:hint="eastAsia" w:ascii="ＭＳ ゴシック" w:hAnsi="ＭＳ ゴシック" w:eastAsia="ＭＳ ゴシック"/>
                <w:sz w:val="22"/>
              </w:rPr>
            </w:pPr>
            <w:r>
              <w:rPr>
                <w:rFonts w:hint="eastAsia" w:ascii="ＭＳ ゴシック" w:hAnsi="ＭＳ ゴシック" w:eastAsia="ＭＳ ゴシック"/>
                <w:sz w:val="22"/>
              </w:rPr>
              <w:t>　　</w:t>
            </w:r>
          </w:p>
          <w:p>
            <w:pPr>
              <w:pStyle w:val="0"/>
              <w:ind w:firstLine="440" w:firstLineChars="200"/>
              <w:rPr>
                <w:rFonts w:hint="eastAsia" w:ascii="ＭＳ ゴシック" w:hAnsi="ＭＳ ゴシック" w:eastAsia="ＭＳ ゴシック"/>
                <w:sz w:val="22"/>
              </w:rPr>
            </w:pPr>
            <w:r>
              <w:rPr>
                <w:rFonts w:hint="eastAsia" w:ascii="ＭＳ ゴシック" w:hAnsi="ＭＳ ゴシック" w:eastAsia="ＭＳ ゴシック"/>
                <w:sz w:val="22"/>
              </w:rPr>
              <w:t>Ｂ　上記期間中の全取引額等　　　　　　　　　　　　</w:t>
            </w:r>
            <w:r>
              <w:rPr>
                <w:rFonts w:hint="eastAsia" w:ascii="ＭＳ ゴシック" w:hAnsi="ＭＳ ゴシック" w:eastAsia="ＭＳ ゴシック"/>
                <w:sz w:val="22"/>
                <w:u w:val="single" w:color="auto"/>
              </w:rPr>
              <w:t>　　　　　　　　　　　円</w:t>
            </w:r>
          </w:p>
          <w:p>
            <w:pPr>
              <w:pStyle w:val="0"/>
              <w:rPr>
                <w:rFonts w:hint="eastAsia" w:ascii="ＭＳ ゴシック" w:hAnsi="ＭＳ ゴシック" w:eastAsia="ＭＳ ゴシック"/>
                <w:sz w:val="22"/>
              </w:rPr>
            </w:pPr>
          </w:p>
        </w:tc>
      </w:tr>
    </w:tbl>
    <w:p>
      <w:pPr>
        <w:pStyle w:val="0"/>
        <w:rPr>
          <w:rFonts w:hint="eastAsia" w:ascii="ＭＳ ゴシック" w:hAnsi="ＭＳ ゴシック" w:eastAsia="ＭＳ ゴシック"/>
          <w:sz w:val="22"/>
        </w:rPr>
      </w:pPr>
      <w:r>
        <w:rPr>
          <w:rFonts w:hint="eastAsia"/>
        </w:rPr>
        <w:t>（</w:t>
      </w:r>
      <w:r>
        <w:rPr>
          <w:rFonts w:hint="eastAsia" w:ascii="ＭＳ ゴシック" w:hAnsi="ＭＳ ゴシック" w:eastAsia="ＭＳ ゴシック"/>
          <w:sz w:val="22"/>
        </w:rPr>
        <w:t>注１）「破産」、「再生手続開始」、「更生手続開始」等を入れる。</w:t>
      </w:r>
    </w:p>
    <w:p>
      <w:pPr>
        <w:pStyle w:val="0"/>
        <w:rPr>
          <w:rFonts w:hint="eastAsia" w:ascii="ＭＳ ゴシック" w:hAnsi="ＭＳ ゴシック" w:eastAsia="ＭＳ ゴシック"/>
          <w:sz w:val="22"/>
        </w:rPr>
      </w:pPr>
      <w:r>
        <w:rPr>
          <w:rFonts w:hint="eastAsia" w:ascii="ＭＳ ゴシック" w:hAnsi="ＭＳ ゴシック" w:eastAsia="ＭＳ ゴシック"/>
          <w:sz w:val="22"/>
        </w:rPr>
        <w:t>（注２）上記１、２のいずれかを記載のこと。</w:t>
      </w:r>
    </w:p>
    <w:p>
      <w:pPr>
        <w:pStyle w:val="0"/>
        <w:rPr>
          <w:rFonts w:hint="eastAsia" w:ascii="ＭＳ ゴシック" w:hAnsi="ＭＳ ゴシック" w:eastAsia="ＭＳ ゴシック"/>
          <w:sz w:val="22"/>
        </w:rPr>
      </w:pPr>
      <w:r>
        <w:rPr>
          <w:rFonts w:hint="eastAsia" w:ascii="ＭＳ ゴシック" w:hAnsi="ＭＳ ゴシック" w:eastAsia="ＭＳ ゴシック"/>
          <w:sz w:val="22"/>
        </w:rPr>
        <w:t>（留意事項）</w:t>
      </w:r>
    </w:p>
    <w:p>
      <w:pPr>
        <w:pStyle w:val="0"/>
        <w:ind w:firstLine="220" w:firstLineChars="100"/>
        <w:rPr>
          <w:rFonts w:hint="eastAsia" w:ascii="ＭＳ ゴシック" w:hAnsi="ＭＳ ゴシック" w:eastAsia="ＭＳ ゴシック"/>
          <w:sz w:val="22"/>
        </w:rPr>
      </w:pPr>
      <w:r>
        <w:rPr>
          <w:rFonts w:hint="eastAsia" w:ascii="ＭＳ ゴシック" w:hAnsi="ＭＳ ゴシック" w:eastAsia="ＭＳ ゴシック"/>
          <w:sz w:val="22"/>
        </w:rPr>
        <w:t>①　本認定とは別に、金融機関及び信用保証協会による金融上の審査があります。</w:t>
      </w:r>
    </w:p>
    <w:p>
      <w:pPr>
        <w:pStyle w:val="0"/>
        <w:rPr>
          <w:rFonts w:hint="default"/>
          <w:sz w:val="22"/>
        </w:rPr>
      </w:pPr>
      <w:r>
        <w:rPr>
          <w:rFonts w:hint="eastAsia" w:ascii="ＭＳ ゴシック" w:hAnsi="ＭＳ ゴシック" w:eastAsia="ＭＳ ゴシック"/>
          <w:sz w:val="22"/>
        </w:rPr>
        <w:t>　②　市町村長又は特別区長から認定を受けた日から３０日以内に金融機関又は信用保証</w:t>
      </w:r>
    </w:p>
    <w:p>
      <w:pPr>
        <w:pStyle w:val="0"/>
        <w:ind w:firstLine="660" w:firstLineChars="300"/>
        <w:rPr>
          <w:rFonts w:hint="default"/>
          <w:sz w:val="22"/>
        </w:rPr>
      </w:pPr>
      <w:r>
        <w:rPr>
          <w:rFonts w:hint="eastAsia" w:ascii="ＭＳ ゴシック" w:hAnsi="ＭＳ ゴシック" w:eastAsia="ＭＳ ゴシック"/>
          <w:sz w:val="22"/>
        </w:rPr>
        <w:t>協会に対して、保証の申込みを行うことが必要です。</w:t>
      </w:r>
    </w:p>
    <w:p>
      <w:pPr>
        <w:pStyle w:val="0"/>
        <w:rPr>
          <w:rFonts w:hint="default"/>
          <w:sz w:val="22"/>
        </w:rPr>
      </w:pPr>
    </w:p>
    <w:p>
      <w:pPr>
        <w:pStyle w:val="0"/>
        <w:rPr>
          <w:rFonts w:hint="default"/>
          <w:sz w:val="22"/>
        </w:rPr>
      </w:pPr>
      <w:r>
        <w:rPr>
          <w:rFonts w:hint="eastAsia"/>
          <w:sz w:val="22"/>
        </w:rPr>
        <w:t>認定　第　　　　号</w:t>
      </w:r>
    </w:p>
    <w:p>
      <w:pPr>
        <w:pStyle w:val="0"/>
        <w:ind w:firstLine="440" w:firstLineChars="200"/>
        <w:rPr>
          <w:rFonts w:hint="default"/>
          <w:sz w:val="22"/>
        </w:rPr>
      </w:pPr>
      <w:r>
        <w:rPr>
          <w:rFonts w:hint="eastAsia"/>
          <w:sz w:val="22"/>
        </w:rPr>
        <w:t>　　　年　　　月　　　日</w:t>
      </w:r>
    </w:p>
    <w:p>
      <w:pPr>
        <w:pStyle w:val="0"/>
        <w:rPr>
          <w:rFonts w:hint="default"/>
          <w:sz w:val="22"/>
        </w:rPr>
      </w:pPr>
    </w:p>
    <w:p>
      <w:pPr>
        <w:pStyle w:val="0"/>
        <w:rPr>
          <w:rFonts w:hint="default"/>
          <w:sz w:val="22"/>
        </w:rPr>
      </w:pPr>
      <w:r>
        <w:rPr>
          <w:rFonts w:hint="eastAsia"/>
          <w:sz w:val="22"/>
        </w:rPr>
        <w:t>　　申請のとおり相違ないことを認定します。</w:t>
      </w:r>
    </w:p>
    <w:p>
      <w:pPr>
        <w:pStyle w:val="0"/>
        <w:ind w:firstLine="440" w:firstLineChars="200"/>
        <w:rPr>
          <w:rFonts w:hint="default"/>
          <w:sz w:val="22"/>
        </w:rPr>
      </w:pPr>
      <w:r>
        <w:rPr>
          <w:rFonts w:hint="eastAsia"/>
          <w:sz w:val="22"/>
        </w:rPr>
        <w:t>＊信用保証協会への申込期間：認定日から　　　　年　　　月　　　日まで</w:t>
      </w:r>
    </w:p>
    <w:p>
      <w:pPr>
        <w:pStyle w:val="0"/>
        <w:rPr>
          <w:rFonts w:hint="eastAsia"/>
          <w:sz w:val="22"/>
        </w:rPr>
      </w:pPr>
    </w:p>
    <w:p>
      <w:pPr>
        <w:pStyle w:val="0"/>
        <w:rPr>
          <w:rFonts w:hint="default"/>
          <w:color w:val="auto"/>
        </w:rPr>
        <w:sectPr>
          <w:pgSz w:w="11906" w:h="16838"/>
          <w:pgMar w:top="851" w:right="1418" w:bottom="567" w:left="1418" w:header="851" w:footer="992" w:gutter="0"/>
          <w:cols w:space="720"/>
          <w:textDirection w:val="lrTb"/>
          <w:docGrid w:type="lines" w:linePitch="336"/>
        </w:sectPr>
      </w:pPr>
      <w:r>
        <w:rPr>
          <w:rFonts w:hint="eastAsia"/>
          <w:sz w:val="22"/>
        </w:rPr>
        <w:t>　　　　　　　　　　　　　　　　　　　　　小浜市長　　杉　本　　和　範　</w:t>
      </w:r>
      <w:r>
        <w:rPr>
          <w:rFonts w:hint="eastAsia" w:ascii="ＭＳ 明朝" w:hAnsi="ＭＳ 明朝"/>
          <w:color w:val="000000"/>
          <w:spacing w:val="16"/>
          <w:kern w:val="0"/>
          <w:sz w:val="20"/>
        </w:rPr>
        <w:t>㊞</w:t>
      </w:r>
    </w:p>
    <w:p>
      <w:pPr>
        <w:pStyle w:val="0"/>
        <w:spacing w:line="400" w:lineRule="exact"/>
        <w:rPr>
          <w:rFonts w:hint="default" w:ascii="ＭＳ ゴシック" w:hAnsi="ＭＳ ゴシック" w:eastAsia="ＭＳ ゴシック"/>
          <w:i w:val="1"/>
          <w:sz w:val="28"/>
          <w:u w:val="single" w:color="auto"/>
        </w:rPr>
      </w:pPr>
      <w:r>
        <w:rPr>
          <w:rFonts w:hint="eastAsia" w:ascii="ＭＳ ゴシック" w:hAnsi="ＭＳ ゴシック" w:eastAsia="ＭＳ ゴシック"/>
          <w:i w:val="1"/>
          <w:sz w:val="28"/>
          <w:u w:val="single" w:color="auto"/>
        </w:rPr>
        <w:t>■市内事業者の皆様へ</w:t>
      </w:r>
    </w:p>
    <w:p>
      <w:pPr>
        <w:pStyle w:val="0"/>
        <w:spacing w:line="400" w:lineRule="exact"/>
        <w:rPr>
          <w:rFonts w:hint="default"/>
        </w:rPr>
      </w:pPr>
    </w:p>
    <w:p>
      <w:pPr>
        <w:pStyle w:val="0"/>
        <w:spacing w:line="400" w:lineRule="exact"/>
        <w:rPr>
          <w:rFonts w:hint="default"/>
        </w:rPr>
      </w:pPr>
      <w:r>
        <w:rPr>
          <w:rFonts w:hint="default"/>
        </w:rPr>
        <mc:AlternateContent>
          <mc:Choice Requires="wps">
            <w:drawing>
              <wp:anchor simplePos="0" relativeHeight="2" behindDoc="0" locked="0" layoutInCell="1" hidden="0" allowOverlap="1">
                <wp:simplePos x="0" y="0"/>
                <wp:positionH relativeFrom="column">
                  <wp:posOffset>203835</wp:posOffset>
                </wp:positionH>
                <wp:positionV relativeFrom="paragraph">
                  <wp:posOffset>51435</wp:posOffset>
                </wp:positionV>
                <wp:extent cx="5791200" cy="1014730"/>
                <wp:effectExtent l="13335" t="13335" r="116840" b="105410"/>
                <wp:wrapNone/>
                <wp:docPr id="1026" name="オブジェクト 0"/>
                <a:graphic xmlns:a="http://schemas.openxmlformats.org/drawingml/2006/main">
                  <a:graphicData uri="http://schemas.microsoft.com/office/word/2010/wordprocessingShape">
                    <wps:wsp>
                      <wps:cNvPr id="1026" name="オブジェクト 0"/>
                      <wps:cNvSpPr>
                        <a:spLocks noChangeArrowheads="1"/>
                      </wps:cNvSpPr>
                      <wps:spPr>
                        <a:xfrm>
                          <a:off x="0" y="0"/>
                          <a:ext cx="5791200" cy="1014730"/>
                        </a:xfrm>
                        <a:prstGeom prst="roundRect">
                          <a:avLst>
                            <a:gd name="adj" fmla="val 16671"/>
                          </a:avLst>
                        </a:prstGeom>
                        <a:solidFill>
                          <a:srgbClr val="FFFFFF"/>
                        </a:solidFill>
                        <a:ln w="12700">
                          <a:solidFill>
                            <a:sysClr val="windowText" lastClr="000000"/>
                          </a:solidFill>
                        </a:ln>
                        <a:effectLst>
                          <a:outerShdw dist="107763" dir="2700000" rotWithShape="0">
                            <a:srgbClr val="808080">
                              <a:alpha val="50000"/>
                            </a:srgbClr>
                          </a:outerShdw>
                        </a:effectLst>
                      </wps:spPr>
                      <wps:txbx>
                        <w:txbxContent>
                          <w:p>
                            <w:pPr>
                              <w:pStyle w:val="0"/>
                              <w:rPr>
                                <w:rFonts w:hint="default"/>
                                <w:sz w:val="22"/>
                              </w:rPr>
                            </w:pPr>
                            <w:r>
                              <w:rPr>
                                <w:rFonts w:hint="eastAsia"/>
                                <w:sz w:val="22"/>
                              </w:rPr>
                              <w:t>☆１号認定とは…</w:t>
                            </w:r>
                          </w:p>
                          <w:p>
                            <w:pPr>
                              <w:pStyle w:val="0"/>
                              <w:rPr>
                                <w:rFonts w:hint="default"/>
                                <w:sz w:val="22"/>
                              </w:rPr>
                            </w:pPr>
                            <w:r>
                              <w:rPr>
                                <w:rFonts w:hint="eastAsia"/>
                                <w:sz w:val="22"/>
                              </w:rPr>
                              <w:t>　民事再生手続き開始の申立等を行った大型倒産事業者に対し、売掛金債権等を有していることにより資金繰りに支障が生じている中小企業者を支援するための措置です。</w:t>
                            </w:r>
                          </w:p>
                          <w:p>
                            <w:pPr>
                              <w:pStyle w:val="0"/>
                              <w:rPr>
                                <w:rFonts w:hint="default"/>
                                <w:sz w:val="22"/>
                              </w:rPr>
                            </w:pPr>
                            <w:r>
                              <w:rPr>
                                <w:rFonts w:hint="eastAsia"/>
                                <w:sz w:val="22"/>
                              </w:rPr>
                              <w:t>　制度の詳細は、</w:t>
                            </w:r>
                            <w:r>
                              <w:rPr>
                                <w:rFonts w:hint="eastAsia"/>
                              </w:rPr>
                              <w:fldChar w:fldCharType="begin"/>
                            </w:r>
                            <w:r>
                              <w:rPr>
                                <w:rFonts w:hint="eastAsia"/>
                              </w:rPr>
                              <w:instrText xml:space="preserve"> HYPERLINK "https://www.chusho.meti.go.jp/kinyu/sefu_net_1gou.html"</w:instrText>
                            </w:r>
                            <w:r>
                              <w:rPr>
                                <w:rFonts w:hint="eastAsia"/>
                              </w:rPr>
                              <w:fldChar w:fldCharType="separate"/>
                            </w:r>
                            <w:r>
                              <w:rPr>
                                <w:rStyle w:val="21"/>
                                <w:rFonts w:hint="eastAsia"/>
                                <w:b w:val="1"/>
                                <w:sz w:val="22"/>
                              </w:rPr>
                              <w:t>中小</w:t>
                            </w:r>
                            <w:bookmarkStart w:id="1" w:name="_Hlt406698111"/>
                            <w:bookmarkStart w:id="2" w:name="_Hlt406698112"/>
                            <w:r>
                              <w:rPr>
                                <w:rStyle w:val="21"/>
                                <w:rFonts w:hint="eastAsia"/>
                                <w:b w:val="1"/>
                                <w:sz w:val="22"/>
                              </w:rPr>
                              <w:t>企</w:t>
                            </w:r>
                            <w:bookmarkEnd w:id="1"/>
                            <w:bookmarkEnd w:id="2"/>
                            <w:r>
                              <w:rPr>
                                <w:rStyle w:val="21"/>
                                <w:rFonts w:hint="eastAsia"/>
                                <w:b w:val="1"/>
                                <w:sz w:val="22"/>
                              </w:rPr>
                              <w:t>業庁のホームページ</w:t>
                            </w:r>
                            <w:r>
                              <w:rPr>
                                <w:rFonts w:hint="eastAsia"/>
                              </w:rPr>
                              <w:fldChar w:fldCharType="end"/>
                            </w:r>
                            <w:r>
                              <w:rPr>
                                <w:rFonts w:hint="eastAsia"/>
                                <w:sz w:val="22"/>
                              </w:rPr>
                              <w:t>をご覧ください。</w:t>
                            </w:r>
                          </w:p>
                        </w:txbxContent>
                      </wps:txbx>
                      <wps:bodyPr vertOverflow="overflow" horzOverflow="overflow" lIns="74295" tIns="8890" rIns="74295" bIns="8890" upright="1"/>
                    </wps:wsp>
                  </a:graphicData>
                </a:graphic>
              </wp:anchor>
            </w:drawing>
          </mc:Choice>
          <mc:Fallback>
            <w:pict>
              <v:roundrect id="オブジェクト 0" style="mso-position-vertical-relative:text;z-index:2;width:456pt;height:79.900000000000006pt;mso-position-horizontal-relative:text;position:absolute;margin-left:16.05pt;margin-top:4.05pt;" o:spid="_x0000_s1026" o:allowincell="t" o:allowoverlap="t" filled="t" fillcolor="#ffffff" stroked="t" strokecolor="#000000" strokeweight="1pt" o:spt="2" arcsize="10926f">
                <v:fill/>
                <v:stroke filltype="solid"/>
                <v:shadow on="t" opacity="32768f" offset="6pt,6pt" origin=",0.5" matrix="65536f,,,65536f,,"/>
                <v:textbox style="layout-flow:horizontal;" inset="2.0637499999999998mm,0.24694444444444438mm,2.0637499999999998mm,0.24694444444444438mm">
                  <w:txbxContent>
                    <w:p>
                      <w:pPr>
                        <w:pStyle w:val="0"/>
                        <w:rPr>
                          <w:rFonts w:hint="default"/>
                          <w:sz w:val="22"/>
                        </w:rPr>
                      </w:pPr>
                      <w:r>
                        <w:rPr>
                          <w:rFonts w:hint="eastAsia"/>
                          <w:sz w:val="22"/>
                        </w:rPr>
                        <w:t>☆１号認定とは…</w:t>
                      </w:r>
                    </w:p>
                    <w:p>
                      <w:pPr>
                        <w:pStyle w:val="0"/>
                        <w:rPr>
                          <w:rFonts w:hint="default"/>
                          <w:sz w:val="22"/>
                        </w:rPr>
                      </w:pPr>
                      <w:r>
                        <w:rPr>
                          <w:rFonts w:hint="eastAsia"/>
                          <w:sz w:val="22"/>
                        </w:rPr>
                        <w:t>　民事再生手続き開始の申立等を行った大型倒産事業者に対し、売掛金債権等を有していることにより資金繰りに支障が生じている中小企業者を支援するための措置です。</w:t>
                      </w:r>
                    </w:p>
                    <w:p>
                      <w:pPr>
                        <w:pStyle w:val="0"/>
                        <w:rPr>
                          <w:rFonts w:hint="default"/>
                          <w:sz w:val="22"/>
                        </w:rPr>
                      </w:pPr>
                      <w:r>
                        <w:rPr>
                          <w:rFonts w:hint="eastAsia"/>
                          <w:sz w:val="22"/>
                        </w:rPr>
                        <w:t>　制度の詳細は、</w:t>
                      </w:r>
                      <w:r>
                        <w:rPr>
                          <w:rFonts w:hint="eastAsia"/>
                        </w:rPr>
                        <w:fldChar w:fldCharType="begin"/>
                      </w:r>
                      <w:r>
                        <w:rPr>
                          <w:rFonts w:hint="eastAsia"/>
                        </w:rPr>
                        <w:instrText xml:space="preserve"> HYPERLINK "https://www.chusho.meti.go.jp/kinyu/sefu_net_1gou.html"</w:instrText>
                      </w:r>
                      <w:r>
                        <w:rPr>
                          <w:rFonts w:hint="eastAsia"/>
                        </w:rPr>
                        <w:fldChar w:fldCharType="separate"/>
                      </w:r>
                      <w:r>
                        <w:rPr>
                          <w:rStyle w:val="21"/>
                          <w:rFonts w:hint="eastAsia"/>
                          <w:b w:val="1"/>
                          <w:sz w:val="22"/>
                        </w:rPr>
                        <w:t>中小</w:t>
                      </w:r>
                      <w:bookmarkStart w:id="3" w:name="_Hlt406698111"/>
                      <w:bookmarkStart w:id="4" w:name="_Hlt406698112"/>
                      <w:r>
                        <w:rPr>
                          <w:rStyle w:val="21"/>
                          <w:rFonts w:hint="eastAsia"/>
                          <w:b w:val="1"/>
                          <w:sz w:val="22"/>
                        </w:rPr>
                        <w:t>企</w:t>
                      </w:r>
                      <w:bookmarkEnd w:id="3"/>
                      <w:bookmarkEnd w:id="4"/>
                      <w:r>
                        <w:rPr>
                          <w:rStyle w:val="21"/>
                          <w:rFonts w:hint="eastAsia"/>
                          <w:b w:val="1"/>
                          <w:sz w:val="22"/>
                        </w:rPr>
                        <w:t>業庁のホームページ</w:t>
                      </w:r>
                      <w:r>
                        <w:rPr>
                          <w:rFonts w:hint="eastAsia"/>
                        </w:rPr>
                        <w:fldChar w:fldCharType="end"/>
                      </w:r>
                      <w:r>
                        <w:rPr>
                          <w:rFonts w:hint="eastAsia"/>
                          <w:sz w:val="22"/>
                        </w:rPr>
                        <w:t>をご覧ください。</w:t>
                      </w:r>
                    </w:p>
                  </w:txbxContent>
                </v:textbox>
                <v:imagedata o:title=""/>
                <w10:wrap type="none" anchorx="text" anchory="text"/>
              </v:roundrect>
            </w:pict>
          </mc:Fallback>
        </mc:AlternateContent>
      </w:r>
    </w:p>
    <w:p>
      <w:pPr>
        <w:pStyle w:val="0"/>
        <w:spacing w:line="400" w:lineRule="exact"/>
        <w:rPr>
          <w:rFonts w:hint="default"/>
        </w:rPr>
      </w:pPr>
    </w:p>
    <w:p>
      <w:pPr>
        <w:pStyle w:val="0"/>
        <w:spacing w:line="400" w:lineRule="exact"/>
        <w:rPr>
          <w:rFonts w:hint="default"/>
        </w:rPr>
      </w:pPr>
    </w:p>
    <w:p>
      <w:pPr>
        <w:pStyle w:val="0"/>
        <w:spacing w:line="400" w:lineRule="exact"/>
        <w:rPr>
          <w:rFonts w:hint="eastAsia"/>
        </w:rPr>
      </w:pPr>
    </w:p>
    <w:p>
      <w:pPr>
        <w:pStyle w:val="0"/>
        <w:spacing w:before="148" w:beforeLines="50" w:beforeAutospacing="0" w:line="400" w:lineRule="exact"/>
        <w:rPr>
          <w:rFonts w:hint="eastAsia"/>
        </w:rPr>
      </w:pPr>
    </w:p>
    <w:p>
      <w:pPr>
        <w:pStyle w:val="0"/>
        <w:spacing w:line="400" w:lineRule="exact"/>
        <w:rPr>
          <w:rFonts w:hint="default" w:ascii="ＭＳ ゴシック" w:hAnsi="ＭＳ ゴシック" w:eastAsia="ＭＳ ゴシック"/>
        </w:rPr>
      </w:pPr>
      <w:r>
        <w:rPr>
          <w:rFonts w:hint="eastAsia" w:ascii="ＭＳ ゴシック" w:hAnsi="ＭＳ ゴシック" w:eastAsia="ＭＳ ゴシック"/>
        </w:rPr>
        <w:t>◆１号について</w:t>
      </w:r>
    </w:p>
    <w:p>
      <w:pPr>
        <w:pStyle w:val="0"/>
        <w:spacing w:line="400" w:lineRule="exact"/>
        <w:rPr>
          <w:rFonts w:hint="eastAsia" w:ascii="ＭＳ ゴシック" w:hAnsi="ＭＳ ゴシック" w:eastAsia="ＭＳ ゴシック"/>
        </w:rPr>
      </w:pPr>
      <w:r>
        <w:rPr>
          <w:rFonts w:hint="eastAsia" w:ascii="ＭＳ ゴシック" w:hAnsi="ＭＳ ゴシック" w:eastAsia="ＭＳ ゴシック"/>
        </w:rPr>
        <w:t>●認定要件</w:t>
      </w:r>
    </w:p>
    <w:p>
      <w:pPr>
        <w:pStyle w:val="0"/>
        <w:spacing w:line="400" w:lineRule="exact"/>
        <w:ind w:left="480" w:hanging="480" w:hangingChars="200"/>
        <w:rPr>
          <w:rFonts w:hint="eastAsia" w:ascii="ＭＳ 明朝" w:hAnsi="ＭＳ 明朝"/>
        </w:rPr>
      </w:pPr>
      <w:r>
        <w:rPr>
          <w:rFonts w:hint="eastAsia" w:ascii="ＭＳ 明朝" w:hAnsi="ＭＳ 明朝"/>
        </w:rPr>
        <w:t>　・次のいずれかの項目に該当する者</w:t>
      </w:r>
    </w:p>
    <w:p>
      <w:pPr>
        <w:pStyle w:val="0"/>
        <w:spacing w:line="400" w:lineRule="exact"/>
        <w:ind w:left="960" w:leftChars="100" w:hanging="720" w:hangingChars="300"/>
        <w:rPr>
          <w:rFonts w:hint="eastAsia" w:ascii="ＭＳ 明朝" w:hAnsi="ＭＳ 明朝"/>
        </w:rPr>
      </w:pPr>
      <w:r>
        <w:rPr>
          <w:rFonts w:hint="eastAsia" w:ascii="ＭＳ 明朝" w:hAnsi="ＭＳ 明朝"/>
        </w:rPr>
        <w:t>【１】申請の時点において、経済産業大臣の指定を受けた再生手続開始申立等事業者に対して、５０万円以上の売掛金</w:t>
      </w:r>
      <w:r>
        <w:rPr>
          <w:rFonts w:hint="eastAsia" w:ascii="ＭＳ 明朝" w:hAnsi="ＭＳ 明朝"/>
        </w:rPr>
        <w:t>(</w:t>
      </w:r>
      <w:r>
        <w:rPr>
          <w:rFonts w:hint="eastAsia" w:ascii="ＭＳ 明朝" w:hAnsi="ＭＳ 明朝"/>
        </w:rPr>
        <w:t>役務の提供による営業収益で未収のものを含む。</w:t>
      </w:r>
      <w:r>
        <w:rPr>
          <w:rFonts w:hint="eastAsia" w:ascii="ＭＳ 明朝" w:hAnsi="ＭＳ 明朝"/>
        </w:rPr>
        <w:t>)</w:t>
      </w:r>
      <w:r>
        <w:rPr>
          <w:rFonts w:hint="eastAsia" w:ascii="ＭＳ 明朝" w:hAnsi="ＭＳ 明朝"/>
        </w:rPr>
        <w:t>債権または前渡金返還請求権を有していること。</w:t>
      </w:r>
    </w:p>
    <w:p>
      <w:pPr>
        <w:pStyle w:val="0"/>
        <w:spacing w:line="400" w:lineRule="exact"/>
        <w:ind w:left="480" w:leftChars="200" w:firstLine="480" w:firstLineChars="200"/>
        <w:rPr>
          <w:rFonts w:hint="eastAsia" w:ascii="ＭＳ 明朝" w:hAnsi="ＭＳ 明朝"/>
        </w:rPr>
      </w:pPr>
      <w:r>
        <w:rPr>
          <w:rFonts w:hint="eastAsia" w:ascii="ＭＳ 明朝" w:hAnsi="ＭＳ 明朝"/>
        </w:rPr>
        <w:t>(</w:t>
      </w:r>
      <w:r>
        <w:rPr>
          <w:rFonts w:hint="eastAsia" w:ascii="ＭＳ 明朝" w:hAnsi="ＭＳ 明朝"/>
        </w:rPr>
        <w:t>再生手続開始申立等事業者リストはこちらのＨＰを参照</w:t>
      </w:r>
      <w:r>
        <w:rPr>
          <w:rFonts w:hint="eastAsia" w:ascii="ＭＳ 明朝" w:hAnsi="ＭＳ 明朝"/>
        </w:rPr>
        <w:t xml:space="preserve">) </w:t>
      </w:r>
    </w:p>
    <w:p>
      <w:pPr>
        <w:pStyle w:val="0"/>
        <w:spacing w:line="400" w:lineRule="exact"/>
        <w:ind w:left="480" w:leftChars="200" w:firstLine="720" w:firstLineChars="300"/>
        <w:rPr>
          <w:rFonts w:hint="default" w:ascii="ＭＳ 明朝" w:hAnsi="ＭＳ 明朝"/>
        </w:rPr>
      </w:pPr>
      <w:r>
        <w:rPr>
          <w:rFonts w:hint="eastAsia"/>
        </w:rPr>
        <w:fldChar w:fldCharType="begin"/>
      </w:r>
      <w:r>
        <w:rPr>
          <w:rFonts w:hint="eastAsia"/>
        </w:rPr>
        <w:instrText xml:space="preserve"> HYPERLINK "https://www.chusho.meti.go.jp/kinyu/sefu_net_1gou.html"</w:instrText>
      </w:r>
      <w:r>
        <w:rPr>
          <w:rFonts w:hint="eastAsia"/>
        </w:rPr>
        <w:fldChar w:fldCharType="separate"/>
      </w:r>
      <w:r>
        <w:rPr>
          <w:rFonts w:hint="eastAsia"/>
          <w:b w:val="1"/>
          <w:color w:val="3366FF"/>
          <w:u w:val="single" w:color="auto"/>
        </w:rPr>
        <w:t>https://www.chusho.meti.go.jp/kinyu/sefu_net_1gou.html</w:t>
      </w:r>
      <w:r>
        <w:rPr>
          <w:rFonts w:hint="eastAsia"/>
        </w:rPr>
        <w:fldChar w:fldCharType="end"/>
      </w:r>
      <w:r>
        <w:rPr>
          <w:rFonts w:hint="default" w:ascii="ＭＳ 明朝" w:hAnsi="ＭＳ 明朝"/>
        </w:rPr>
        <w:t xml:space="preserve"> </w:t>
      </w:r>
    </w:p>
    <w:p>
      <w:pPr>
        <w:pStyle w:val="0"/>
        <w:spacing w:line="400" w:lineRule="exact"/>
        <w:ind w:left="960" w:leftChars="100" w:hanging="720" w:hangingChars="300"/>
        <w:rPr>
          <w:rFonts w:hint="eastAsia" w:ascii="ＭＳ 明朝" w:hAnsi="ＭＳ 明朝"/>
        </w:rPr>
      </w:pPr>
      <w:r>
        <w:rPr>
          <w:rFonts w:hint="eastAsia" w:ascii="ＭＳ 明朝" w:hAnsi="ＭＳ 明朝"/>
        </w:rPr>
        <w:t>【２】申請の時点において、当該再生手続開始申立等事業者に対して、５０万円未満の売掛金債権または前渡金返還請求権しか有していないが、申請者の全取引規模のうち、当該再生手続開始申立等事業者との取引規模が２０％以上であること。</w:t>
      </w:r>
    </w:p>
    <w:p>
      <w:pPr>
        <w:pStyle w:val="0"/>
        <w:spacing w:line="400" w:lineRule="exact"/>
        <w:rPr>
          <w:rFonts w:hint="eastAsia" w:ascii="ＭＳ ゴシック" w:hAnsi="ＭＳ ゴシック" w:eastAsia="ＭＳ ゴシック"/>
        </w:rPr>
      </w:pPr>
    </w:p>
    <w:p>
      <w:pPr>
        <w:pStyle w:val="0"/>
        <w:spacing w:line="400" w:lineRule="exact"/>
        <w:rPr>
          <w:rFonts w:hint="eastAsia" w:ascii="ＭＳ ゴシック" w:hAnsi="ＭＳ ゴシック" w:eastAsia="ＭＳ ゴシック"/>
        </w:rPr>
      </w:pPr>
      <w:r>
        <w:rPr>
          <w:rFonts w:hint="eastAsia" w:ascii="ＭＳ ゴシック" w:hAnsi="ＭＳ ゴシック" w:eastAsia="ＭＳ ゴシック"/>
        </w:rPr>
        <w:t>●必要書類</w:t>
      </w:r>
    </w:p>
    <w:p>
      <w:pPr>
        <w:pStyle w:val="0"/>
        <w:spacing w:line="400" w:lineRule="exact"/>
        <w:rPr>
          <w:rFonts w:hint="eastAsia" w:ascii="ＭＳ 明朝" w:hAnsi="ＭＳ 明朝"/>
        </w:rPr>
      </w:pPr>
      <w:r>
        <w:rPr>
          <w:rFonts w:hint="eastAsia" w:ascii="ＭＳ 明朝" w:hAnsi="ＭＳ 明朝"/>
        </w:rPr>
        <w:t>　　・認定申請書　２部（１部：認定書、１部：小浜市控え）</w:t>
      </w:r>
    </w:p>
    <w:p>
      <w:pPr>
        <w:pStyle w:val="0"/>
        <w:spacing w:line="400" w:lineRule="exact"/>
        <w:textAlignment w:val="baseline"/>
        <w:rPr>
          <w:rFonts w:hint="default" w:ascii="ＭＳ 明朝" w:hAnsi="ＭＳ 明朝" w:eastAsia="ＭＳ 明朝"/>
          <w:sz w:val="24"/>
        </w:rPr>
      </w:pPr>
      <w:r>
        <w:rPr>
          <w:rFonts w:hint="eastAsia" w:ascii="ＭＳ 明朝" w:hAnsi="ＭＳ 明朝"/>
        </w:rPr>
        <w:t>　　　</w:t>
      </w:r>
      <w:r>
        <w:rPr>
          <w:rFonts w:hint="eastAsia" w:ascii="ＭＳ 明朝" w:hAnsi="ＭＳ 明朝" w:eastAsia="ＭＳ 明朝"/>
          <w:sz w:val="24"/>
        </w:rPr>
        <w:t>融資申請デジタル化システムを使用して申請する場合は、認定申請書は１部で</w:t>
      </w:r>
    </w:p>
    <w:p>
      <w:pPr>
        <w:pStyle w:val="0"/>
        <w:spacing w:line="400" w:lineRule="exact"/>
        <w:ind w:firstLine="720" w:firstLineChars="300"/>
        <w:rPr>
          <w:rFonts w:hint="eastAsia" w:ascii="ＭＳ 明朝" w:hAnsi="ＭＳ 明朝"/>
        </w:rPr>
      </w:pPr>
      <w:r>
        <w:rPr>
          <w:rFonts w:hint="eastAsia" w:ascii="ＭＳ 明朝" w:hAnsi="ＭＳ 明朝" w:eastAsia="ＭＳ 明朝"/>
          <w:sz w:val="24"/>
        </w:rPr>
        <w:t>かまいません。</w:t>
      </w:r>
    </w:p>
    <w:p>
      <w:pPr>
        <w:pStyle w:val="0"/>
        <w:spacing w:line="400" w:lineRule="exact"/>
        <w:rPr>
          <w:rFonts w:hint="eastAsia" w:ascii="ＭＳ 明朝" w:hAnsi="ＭＳ 明朝"/>
        </w:rPr>
      </w:pPr>
      <w:r>
        <w:rPr>
          <w:rFonts w:hint="eastAsia" w:ascii="ＭＳ 明朝" w:hAnsi="ＭＳ 明朝"/>
        </w:rPr>
        <w:t>　　・登記事項証明書の写し　１部　</w:t>
      </w:r>
      <w:r>
        <w:rPr>
          <w:rFonts w:hint="eastAsia" w:ascii="ＭＳ 明朝" w:hAnsi="ＭＳ 明朝"/>
        </w:rPr>
        <w:t>(</w:t>
      </w:r>
      <w:r>
        <w:rPr>
          <w:rFonts w:hint="eastAsia" w:ascii="ＭＳ 明朝" w:hAnsi="ＭＳ 明朝"/>
        </w:rPr>
        <w:t>個人の場合は事業所所在地が確認できる資料</w:t>
      </w:r>
      <w:r>
        <w:rPr>
          <w:rFonts w:hint="eastAsia" w:ascii="ＭＳ 明朝" w:hAnsi="ＭＳ 明朝"/>
        </w:rPr>
        <w:t>)</w:t>
      </w:r>
    </w:p>
    <w:p>
      <w:pPr>
        <w:pStyle w:val="0"/>
        <w:spacing w:line="400" w:lineRule="exact"/>
        <w:rPr>
          <w:rFonts w:hint="eastAsia" w:ascii="ＭＳ 明朝" w:hAnsi="ＭＳ 明朝"/>
        </w:rPr>
      </w:pPr>
    </w:p>
    <w:p>
      <w:pPr>
        <w:pStyle w:val="0"/>
        <w:spacing w:line="400" w:lineRule="exact"/>
        <w:rPr>
          <w:rFonts w:hint="eastAsia" w:ascii="ＭＳ ゴシック" w:hAnsi="ＭＳ ゴシック" w:eastAsia="ＭＳ ゴシック"/>
        </w:rPr>
      </w:pPr>
      <w:r>
        <w:rPr>
          <w:rFonts w:hint="eastAsia" w:ascii="ＭＳ ゴシック" w:hAnsi="ＭＳ ゴシック" w:eastAsia="ＭＳ ゴシック"/>
        </w:rPr>
        <w:t>　【１】に該当する場合</w:t>
      </w:r>
    </w:p>
    <w:p>
      <w:pPr>
        <w:pStyle w:val="0"/>
        <w:spacing w:line="400" w:lineRule="exact"/>
        <w:ind w:left="720" w:hanging="720" w:hangingChars="300"/>
        <w:rPr>
          <w:rFonts w:hint="eastAsia" w:ascii="ＭＳ 明朝" w:hAnsi="ＭＳ 明朝"/>
        </w:rPr>
      </w:pPr>
      <w:r>
        <w:rPr>
          <w:rFonts w:hint="eastAsia" w:ascii="ＭＳ 明朝" w:hAnsi="ＭＳ 明朝"/>
        </w:rPr>
        <w:t>　　・当該再生手続開始申立等事業者に対する売掛金を確認できる資料（裁判所届出資料、受取手形、取引先の支払通知書、売掛帳簿、不渡り手形の写し等）</w:t>
      </w:r>
    </w:p>
    <w:p>
      <w:pPr>
        <w:pStyle w:val="0"/>
        <w:spacing w:line="400" w:lineRule="exact"/>
        <w:ind w:left="720" w:hanging="720" w:hangingChars="300"/>
        <w:rPr>
          <w:rFonts w:hint="eastAsia" w:ascii="ＭＳ 明朝" w:hAnsi="ＭＳ 明朝"/>
        </w:rPr>
      </w:pPr>
    </w:p>
    <w:p>
      <w:pPr>
        <w:pStyle w:val="0"/>
        <w:spacing w:line="400" w:lineRule="exact"/>
        <w:ind w:left="720" w:hanging="720" w:hangingChars="300"/>
        <w:rPr>
          <w:rFonts w:hint="eastAsia" w:ascii="ＭＳ ゴシック" w:hAnsi="ＭＳ ゴシック" w:eastAsia="ＭＳ ゴシック"/>
        </w:rPr>
      </w:pPr>
      <w:r>
        <w:rPr>
          <w:rFonts w:hint="eastAsia" w:ascii="ＭＳ ゴシック" w:hAnsi="ＭＳ ゴシック" w:eastAsia="ＭＳ ゴシック"/>
        </w:rPr>
        <w:t>　【２】に該当する場合</w:t>
      </w:r>
    </w:p>
    <w:p>
      <w:pPr>
        <w:pStyle w:val="0"/>
        <w:spacing w:line="400" w:lineRule="exact"/>
        <w:ind w:left="720" w:hanging="720" w:hangingChars="300"/>
        <w:rPr>
          <w:rFonts w:hint="eastAsia" w:ascii="ＭＳ 明朝" w:hAnsi="ＭＳ 明朝"/>
        </w:rPr>
      </w:pPr>
      <w:r>
        <w:rPr>
          <w:rFonts w:hint="eastAsia" w:ascii="ＭＳ 明朝" w:hAnsi="ＭＳ 明朝"/>
        </w:rPr>
        <w:t>　　・当該再生手続開始申立等事業者に対する取引依存度が確認できる資料</w:t>
      </w:r>
    </w:p>
    <w:p>
      <w:pPr>
        <w:pStyle w:val="0"/>
        <w:spacing w:line="400" w:lineRule="exact"/>
        <w:ind w:left="960" w:right="259" w:rightChars="108" w:hanging="960" w:hangingChars="400"/>
        <w:rPr>
          <w:rFonts w:hint="eastAsia" w:ascii="ＭＳ 明朝" w:hAnsi="ＭＳ 明朝"/>
        </w:rPr>
      </w:pPr>
      <w:r>
        <w:rPr>
          <w:rFonts w:hint="eastAsia" w:ascii="ＭＳ 明朝" w:hAnsi="ＭＳ 明朝"/>
        </w:rPr>
        <mc:AlternateContent>
          <mc:Choice Requires="wps">
            <w:drawing>
              <wp:anchor simplePos="0" relativeHeight="3" behindDoc="0" locked="0" layoutInCell="1" hidden="0" allowOverlap="1">
                <wp:simplePos x="0" y="0"/>
                <wp:positionH relativeFrom="column">
                  <wp:posOffset>480695</wp:posOffset>
                </wp:positionH>
                <wp:positionV relativeFrom="paragraph">
                  <wp:posOffset>36830</wp:posOffset>
                </wp:positionV>
                <wp:extent cx="6148705" cy="1764665"/>
                <wp:effectExtent l="635" t="635" r="29845" b="10795"/>
                <wp:wrapNone/>
                <wp:docPr id="1027" name="オブジェクト 0"/>
                <a:graphic xmlns:a="http://schemas.openxmlformats.org/drawingml/2006/main">
                  <a:graphicData uri="http://schemas.microsoft.com/office/word/2010/wordprocessingShape">
                    <wps:wsp>
                      <wps:cNvPr id="1027" name="オブジェクト 0"/>
                      <wps:cNvSpPr>
                        <a:spLocks noChangeArrowheads="1"/>
                      </wps:cNvSpPr>
                      <wps:spPr>
                        <a:xfrm>
                          <a:off x="0" y="0"/>
                          <a:ext cx="6148705" cy="1764665"/>
                        </a:xfrm>
                        <a:prstGeom prst="bracketPair">
                          <a:avLst>
                            <a:gd name="adj" fmla="val 8566"/>
                          </a:avLst>
                        </a:prstGeom>
                        <a:noFill/>
                        <a:ln w="9525">
                          <a:solidFill>
                            <a:sysClr val="windowText" lastClr="000000"/>
                          </a:solidFill>
                        </a:ln>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オブジェクト 0" style="mso-position-vertical-relative:text;z-index:3;width:484.15pt;height:138.94pt;mso-position-horizontal-relative:text;position:absolute;margin-left:37.85pt;margin-top:2.9pt;" o:spid="_x0000_s1027" o:allowincell="t" o:allowoverlap="t" filled="f" stroked="t" strokecolor="#000000" strokeweight="0.75pt" o:spt="185" type="#_x0000_t185" adj="1850">
                <v:fill/>
                <v:stroke filltype="solid"/>
                <v:textbox style="layout-flow:horizontal;"/>
                <v:imagedata o:title=""/>
                <w10:wrap type="none" anchorx="text" anchory="text"/>
              </v:shape>
            </w:pict>
          </mc:Fallback>
        </mc:AlternateContent>
      </w:r>
      <w:r>
        <w:rPr>
          <w:rFonts w:hint="eastAsia" w:ascii="ＭＳ 明朝" w:hAnsi="ＭＳ 明朝"/>
        </w:rPr>
        <w:t>　　　　具体的には、倒産事由発生直近（直近とは原則として前月）６ヶ月以上の期間の倒産業者との取引額がわかる資料および他の業者も含めて全取引額がわかる資料（原則として決算書類）。</w:t>
      </w:r>
    </w:p>
    <w:p>
      <w:pPr>
        <w:pStyle w:val="0"/>
        <w:spacing w:line="400" w:lineRule="exact"/>
        <w:ind w:left="960" w:leftChars="400" w:right="259" w:rightChars="108"/>
        <w:rPr>
          <w:rFonts w:hint="eastAsia" w:ascii="ＭＳ 明朝" w:hAnsi="ＭＳ 明朝"/>
        </w:rPr>
      </w:pPr>
      <w:r>
        <w:rPr>
          <w:rFonts w:hint="eastAsia" w:ascii="ＭＳ 明朝" w:hAnsi="ＭＳ 明朝"/>
        </w:rPr>
        <w:t>なお、この資料により取引額が確認できない場合は、月別残高試算表もしくは得意先別売上帳簿の写し。</w:t>
      </w:r>
    </w:p>
    <w:p>
      <w:pPr>
        <w:pStyle w:val="0"/>
        <w:spacing w:line="400" w:lineRule="exact"/>
        <w:ind w:left="1680" w:right="259" w:rightChars="108" w:hanging="1680" w:hangingChars="700"/>
        <w:rPr>
          <w:rFonts w:hint="eastAsia" w:ascii="ＭＳ 明朝" w:hAnsi="ＭＳ 明朝"/>
        </w:rPr>
      </w:pPr>
      <w:r>
        <w:rPr>
          <w:rFonts w:hint="eastAsia" w:ascii="ＭＳ 明朝" w:hAnsi="ＭＳ 明朝"/>
        </w:rPr>
        <w:t>　　　　（注）資料が整わない場合は、直近の決算の期間でも結構です。また、取引期間が６ヶ月に満たない場合は１ヶ月以上の期間としても結構です。</w:t>
      </w:r>
    </w:p>
    <w:p>
      <w:pPr>
        <w:pStyle w:val="0"/>
        <w:spacing w:line="400" w:lineRule="exact"/>
        <w:rPr>
          <w:rFonts w:hint="default" w:ascii="ＭＳ ゴシック" w:hAnsi="ＭＳ ゴシック" w:eastAsia="ＭＳ ゴシック"/>
        </w:rPr>
      </w:pPr>
    </w:p>
    <w:p>
      <w:pPr>
        <w:pStyle w:val="0"/>
        <w:spacing w:line="400" w:lineRule="exact"/>
        <w:rPr>
          <w:rFonts w:hint="eastAsia" w:ascii="ＭＳ ゴシック" w:hAnsi="ＭＳ ゴシック" w:eastAsia="ＭＳ ゴシック"/>
        </w:rPr>
      </w:pPr>
      <w:r>
        <w:rPr>
          <w:rFonts w:hint="eastAsia" w:ascii="ＭＳ ゴシック" w:hAnsi="ＭＳ ゴシック" w:eastAsia="ＭＳ ゴシック"/>
        </w:rPr>
        <w:t>●注意事項</w:t>
      </w:r>
    </w:p>
    <w:p>
      <w:pPr>
        <w:pStyle w:val="0"/>
        <w:spacing w:line="400" w:lineRule="exact"/>
        <w:ind w:left="480" w:hanging="480" w:hangingChars="200"/>
        <w:rPr>
          <w:rFonts w:hint="eastAsia" w:ascii="ＭＳ 明朝" w:hAnsi="ＭＳ 明朝"/>
        </w:rPr>
      </w:pPr>
      <w:r>
        <w:rPr>
          <w:rFonts w:hint="eastAsia" w:ascii="ＭＳ 明朝" w:hAnsi="ＭＳ 明朝"/>
        </w:rPr>
        <w:t>　・認定の対象となる事業者は、再生手続開始申立等事業者と直接取引を有する一次的な関連中小企業者に限ります。再生手続開始申立等事業者が振り出した約束手形を裏書で入手したような二次、三次的な関連中小企業者は対象になりません。</w:t>
      </w:r>
    </w:p>
    <w:p>
      <w:pPr>
        <w:pStyle w:val="0"/>
        <w:spacing w:line="400" w:lineRule="exact"/>
        <w:rPr>
          <w:rFonts w:hint="eastAsia" w:ascii="ＭＳ ゴシック" w:hAnsi="ＭＳ ゴシック" w:eastAsia="ＭＳ ゴシック"/>
        </w:rPr>
      </w:pPr>
    </w:p>
    <w:p>
      <w:pPr>
        <w:pStyle w:val="0"/>
        <w:spacing w:line="400" w:lineRule="exact"/>
        <w:rPr>
          <w:rFonts w:hint="eastAsia" w:ascii="ＭＳ ゴシック" w:hAnsi="ＭＳ ゴシック" w:eastAsia="ＭＳ ゴシック"/>
        </w:rPr>
      </w:pPr>
      <w:r>
        <w:rPr>
          <w:rFonts w:hint="eastAsia" w:ascii="ＭＳ ゴシック" w:hAnsi="ＭＳ ゴシック" w:eastAsia="ＭＳ ゴシック"/>
        </w:rPr>
        <w:t>●認定申請書への記入上の留意点</w:t>
      </w:r>
    </w:p>
    <w:p>
      <w:pPr>
        <w:pStyle w:val="0"/>
        <w:spacing w:line="400" w:lineRule="exact"/>
        <w:ind w:left="480" w:hanging="480" w:hangingChars="200"/>
        <w:rPr>
          <w:rFonts w:hint="eastAsia" w:ascii="ＭＳ 明朝" w:hAnsi="ＭＳ 明朝"/>
        </w:rPr>
      </w:pPr>
      <w:r>
        <w:rPr>
          <w:rFonts w:hint="eastAsia" w:ascii="ＭＳ 明朝" w:hAnsi="ＭＳ 明朝"/>
        </w:rPr>
        <w:t>　・最初の空欄（点線）には経済産業省が指定する再生手続開始申立等事業者名を記入する。</w:t>
      </w:r>
    </w:p>
    <w:p>
      <w:pPr>
        <w:pStyle w:val="0"/>
        <w:spacing w:line="400" w:lineRule="exact"/>
        <w:ind w:left="480" w:leftChars="100" w:hanging="240" w:hangingChars="100"/>
        <w:rPr>
          <w:rFonts w:hint="eastAsia" w:ascii="ＭＳ 明朝" w:hAnsi="ＭＳ 明朝"/>
        </w:rPr>
      </w:pPr>
      <w:r>
        <w:rPr>
          <w:rFonts w:hint="eastAsia" w:ascii="ＭＳ 明朝" w:hAnsi="ＭＳ 明朝"/>
        </w:rPr>
        <w:t>・次の空欄（実線）には、「破産」「再生手続開始」「更正手続開始」等を記入する。</w:t>
      </w:r>
    </w:p>
    <w:p>
      <w:pPr>
        <w:pStyle w:val="0"/>
        <w:spacing w:line="400" w:lineRule="exact"/>
        <w:ind w:left="480" w:leftChars="100" w:hanging="240" w:hangingChars="100"/>
        <w:rPr>
          <w:rFonts w:hint="eastAsia" w:ascii="ＭＳ 明朝" w:hAnsi="ＭＳ 明朝"/>
        </w:rPr>
      </w:pPr>
      <w:r>
        <w:rPr>
          <w:rFonts w:hint="eastAsia" w:ascii="ＭＳ 明朝" w:hAnsi="ＭＳ 明朝"/>
        </w:rPr>
        <w:t>・１、２のいずれかを記入し、その空欄（点線）には再生手続開始申立等事業者名を記入する。</w:t>
      </w:r>
    </w:p>
    <w:p>
      <w:pPr>
        <w:pStyle w:val="0"/>
        <w:spacing w:line="400" w:lineRule="exact"/>
        <w:rPr>
          <w:rFonts w:hint="default" w:ascii="ＭＳ 明朝" w:hAnsi="ＭＳ 明朝"/>
        </w:rPr>
      </w:pPr>
    </w:p>
    <w:p>
      <w:pPr>
        <w:pStyle w:val="0"/>
        <w:spacing w:line="400" w:lineRule="exact"/>
        <w:rPr>
          <w:rFonts w:hint="eastAsia" w:ascii="ＭＳ ゴシック" w:hAnsi="ＭＳ ゴシック" w:eastAsia="ＭＳ ゴシック"/>
        </w:rPr>
      </w:pPr>
      <w:r>
        <w:rPr>
          <w:rFonts w:hint="eastAsia" w:ascii="ＭＳ ゴシック" w:hAnsi="ＭＳ ゴシック" w:eastAsia="ＭＳ ゴシック"/>
        </w:rPr>
        <w:t>●その他</w:t>
      </w:r>
    </w:p>
    <w:p>
      <w:pPr>
        <w:pStyle w:val="0"/>
        <w:spacing w:line="400" w:lineRule="exact"/>
        <w:rPr>
          <w:rFonts w:hint="eastAsia" w:ascii="ＭＳ 明朝" w:hAnsi="ＭＳ 明朝"/>
        </w:rPr>
      </w:pPr>
      <w:r>
        <w:rPr>
          <w:rFonts w:hint="eastAsia" w:ascii="ＭＳ 明朝" w:hAnsi="ＭＳ 明朝"/>
        </w:rPr>
        <w:t>　・市の認定とは別に、金融機関および信用保証協会による金融上の審査があります。</w:t>
      </w:r>
    </w:p>
    <w:p>
      <w:pPr>
        <w:pStyle w:val="0"/>
        <w:spacing w:line="400" w:lineRule="exact"/>
        <w:ind w:left="480" w:hanging="480" w:hangingChars="200"/>
        <w:rPr>
          <w:rFonts w:hint="eastAsia" w:ascii="ＭＳ 明朝" w:hAnsi="ＭＳ 明朝"/>
        </w:rPr>
      </w:pPr>
      <w:r>
        <w:rPr>
          <w:rFonts w:hint="eastAsia" w:ascii="ＭＳ 明朝" w:hAnsi="ＭＳ 明朝"/>
        </w:rPr>
        <w:t>　・市長から認定を受けた日から３０日以内に金融機関又は信用保証協会に対して、保証の申込みを行うことが必要です。</w:t>
      </w:r>
    </w:p>
    <w:p>
      <w:pPr>
        <w:pStyle w:val="0"/>
        <w:spacing w:line="400" w:lineRule="exact"/>
        <w:rPr>
          <w:rFonts w:hint="eastAsia" w:ascii="ＭＳ 明朝" w:hAnsi="ＭＳ 明朝"/>
        </w:rPr>
      </w:pPr>
    </w:p>
    <w:p>
      <w:pPr>
        <w:pStyle w:val="0"/>
        <w:rPr>
          <w:rFonts w:hint="eastAsia"/>
        </w:rPr>
      </w:pPr>
    </w:p>
    <w:sectPr>
      <w:pgSz w:w="11906" w:h="16838"/>
      <w:pgMar w:top="720" w:right="720" w:bottom="720" w:left="720" w:header="851" w:footer="992" w:gutter="0"/>
      <w:cols w:space="720"/>
      <w:textDirection w:val="lrTb"/>
      <w:docGrid w:type="lines" w:linePitch="33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Cambria Math">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 w:name="Century">
    <w:panose1 w:val="00000800000000000000"/>
    <w:charset w:val="00"/>
    <w:family w:val="roman"/>
    <w:notTrueType/>
    <w:pitch w:val="variable"/>
    <w:sig w:usb0="00000000" w:usb1="00000000" w:usb2="00000000" w:usb3="00000000" w:csb0="FF000000" w:csb1="00000000"/>
  </w:font>
  <w:font w:name="BIZ UDPゴシック">
    <w:panose1 w:val="00000000000000000000"/>
    <w:charset w:val="80"/>
    <w:family w:val="modern"/>
    <w:notTrueType/>
    <w:pitch w:val="variable"/>
    <w:sig w:usb0="00000000" w:usb1="00000000" w:usb2="00000000" w:usb3="00000000" w:csb0="01008200" w:csb1="00000000"/>
  </w:font>
  <w:font w:name="游ゴシック">
    <w:panose1 w:val="00000000000000000000"/>
    <w:charset w:val="80"/>
    <w:family w:val="modern"/>
    <w:notTrueType/>
    <w:pitch w:val="variable"/>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20"/>
  <w:bordersDoNotSurroundHeader/>
  <w:bordersDoNotSurroundFooter/>
  <w:doNotTrackMoves/>
  <w:defaultTabStop w:val="840"/>
  <w:drawingGridHorizontalSpacing w:val="120"/>
  <w:drawingGridVerticalSpacing w:val="168"/>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0"/>
    <w:uiPriority w:val="0"/>
    <w:pPr>
      <w:jc w:val="center"/>
    </w:pPr>
  </w:style>
  <w:style w:type="paragraph" w:styleId="16">
    <w:name w:val="Closing"/>
    <w:basedOn w:val="0"/>
    <w:next w:val="16"/>
    <w:link w:val="0"/>
    <w:uiPriority w:val="0"/>
    <w:pPr>
      <w:jc w:val="right"/>
    </w:p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next w:val="18"/>
    <w:link w:val="17"/>
    <w:uiPriority w:val="0"/>
    <w:rPr>
      <w:kern w:val="2"/>
      <w:sz w:val="24"/>
    </w:rPr>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next w:val="20"/>
    <w:link w:val="19"/>
    <w:uiPriority w:val="0"/>
    <w:rPr>
      <w:kern w:val="2"/>
      <w:sz w:val="24"/>
    </w:rPr>
  </w:style>
  <w:style w:type="character" w:styleId="21">
    <w:name w:val="Hyperlink"/>
    <w:next w:val="21"/>
    <w:link w:val="0"/>
    <w:uiPriority w:val="0"/>
    <w:rPr>
      <w:color w:val="0000FF"/>
      <w:u w:val="single" w:color="auto"/>
    </w:rPr>
  </w:style>
  <w:style w:type="character" w:styleId="22">
    <w:name w:val="FollowedHyperlink"/>
    <w:next w:val="22"/>
    <w:link w:val="0"/>
    <w:uiPriority w:val="0"/>
    <w:rPr>
      <w:color w:val="800080"/>
      <w:u w:val="single" w:color="auto"/>
    </w:rPr>
  </w:style>
  <w:style w:type="character" w:styleId="23">
    <w:name w:val="footnote reference"/>
    <w:basedOn w:val="10"/>
    <w:next w:val="23"/>
    <w:link w:val="0"/>
    <w:uiPriority w:val="0"/>
    <w:semiHidden/>
    <w:rPr>
      <w:vertAlign w:val="superscript"/>
    </w:rPr>
  </w:style>
  <w:style w:type="character" w:styleId="24">
    <w:name w:val="endnote reference"/>
    <w:basedOn w:val="10"/>
    <w:next w:val="24"/>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14</TotalTime>
  <Pages>3</Pages>
  <Words>11</Words>
  <Characters>1570</Characters>
  <Application>JUST Note</Application>
  <Lines>99</Lines>
  <Paragraphs>57</Paragraphs>
  <Company>小浜市</Company>
  <CharactersWithSpaces>1914</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様式第１</dc:title>
  <dc:creator>久保 芳樹</dc:creator>
  <cp:lastModifiedBy>久保 芳樹</cp:lastModifiedBy>
  <dcterms:created xsi:type="dcterms:W3CDTF">2024-11-26T07:53:00Z</dcterms:created>
  <dcterms:modified xsi:type="dcterms:W3CDTF">2024-11-29T06:31:18Z</dcterms:modified>
  <cp:revision>1</cp:revision>
</cp:coreProperties>
</file>